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长城小标宋体" w:hAnsi="长城小标宋体" w:eastAsia="长城小标宋体" w:cs="长城小标宋体"/>
          <w:b/>
          <w:bCs/>
          <w:i w:val="0"/>
          <w:iCs w:val="0"/>
          <w:caps w:val="0"/>
          <w:color w:val="000000"/>
          <w:spacing w:val="-4"/>
          <w:sz w:val="30"/>
          <w:szCs w:val="30"/>
          <w:bdr w:val="none" w:color="auto" w:sz="0" w:space="0"/>
          <w:shd w:val="clear" w:fill="FFFFFF"/>
        </w:rPr>
        <w:t>2018年拟验收的16个国家工程技术研究中心名单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500"/>
        <w:gridCol w:w="2221"/>
        <w:gridCol w:w="1969"/>
        <w:gridCol w:w="1491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计划编号</w:t>
            </w:r>
          </w:p>
        </w:tc>
        <w:tc>
          <w:tcPr>
            <w:tcW w:w="3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依托单位</w:t>
            </w: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2012FU125X13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国家喀斯特石漠化防治工程技术研究中心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贵州师范大学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贵州省科技厅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公益类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2013FU125Q01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国家有机类肥料工程技术研究中心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江苏新天地生物肥料工程中心有限公司、南京农业大学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江苏省科技厅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2014FU125Q01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国家特高压变压器工程技术研究中心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特变电工股份有限公司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新疆维吾尔自治区科技厅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2014FU125Q02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国家电子废弃物循环利用工程技术研究中心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湖北荆门市格林美公司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湖北省科技厅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国家纺纱工程技术研究中心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山东如意科技集团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山东省科技厅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2014FU125Q04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国家煤基合成工程技术研究中心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山西潞安矿业（集团）有限责任公司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山西省科技厅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2014FU125Q05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国家母婴乳品健康工程技术研究中心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北京三元股份有限公司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北京市科委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2014FU125Q06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国家煤矿水害防治工程技术研究中心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皖北煤电集团有限责任公司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安徽省科技厅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2014FU125Q07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国家城市道路交通装备智能化工程技术研究中心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青岛海信网络科技股份有限公司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青岛市科技局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2014FU125Q08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国家电动客车电控与安全工程技术研究中心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郑州宇通客车股份有限公司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河南省科技厅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2014FU125Q09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国家苗药工程技术研究中心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贵州益佰制药股份有限公司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贵州省科技厅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2014FU125Q10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国家茶叶质量安全工程技术研究中心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福建安溪铁观音集团股份有限公司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福建省科技厅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2014FU125Q11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国家抗艾滋病病毒药物工程技术研究中心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上海迪赛诺药业有限公司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上海市科委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企业类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2014FU125X01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国家水运安全工程技术研究中心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湖北省科技厅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公益类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2014FU125X02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国家甘蔗工程技术研究中心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福建省科技厅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公益类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  <w:shd w:val="clear" w:fill="FFFFFF"/>
              </w:rPr>
              <w:t>2014FU125X03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国家网络安全应急工程技术研究中心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国家计算机网络与信息安全管理中心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工业和信息化部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公益类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TVjZjcxYTBjYTljMmM5NjM3YmIyMzE5NzhmNzgifQ=="/>
  </w:docVars>
  <w:rsids>
    <w:rsidRoot w:val="7DBA3B4A"/>
    <w:rsid w:val="12CB2B47"/>
    <w:rsid w:val="486E001B"/>
    <w:rsid w:val="6CFA2479"/>
    <w:rsid w:val="7DB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1731</Characters>
  <Lines>0</Lines>
  <Paragraphs>0</Paragraphs>
  <TotalTime>111</TotalTime>
  <ScaleCrop>false</ScaleCrop>
  <LinksUpToDate>false</LinksUpToDate>
  <CharactersWithSpaces>1732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2022-09-26T08:02:00Z</dcterms:created>
  <dc:creator>weiling.kong</dc:creator>
  <cp:lastModifiedBy>weiling.kong</cp:lastModifiedBy>
  <dcterms:modified xsi:type="dcterms:W3CDTF">2022-09-26T09:54:07Z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6DE3B8A330E74E1BBD28A1404EDCA8DD</vt:lpwstr>
  </property>
</Properties>
</file>