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val="0"/>
        <w:topLinePunct w:val="0"/>
        <w:autoSpaceDE w:val="0"/>
        <w:autoSpaceDN w:val="0"/>
        <w:bidi w:val="0"/>
        <w:adjustRightInd w:val="0"/>
        <w:snapToGrid w:val="0"/>
        <w:spacing w:line="560" w:lineRule="exact"/>
        <w:jc w:val="center"/>
        <w:textAlignment w:val="auto"/>
        <w:outlineLvl w:val="0"/>
        <w:rPr>
          <w:rFonts w:hint="eastAsia" w:ascii="Times New Roman" w:hAnsi="Times New Roman" w:eastAsia="方正小标宋简体" w:cs="方正小标宋简体"/>
          <w:bCs/>
          <w:color w:val="000000" w:themeColor="text1"/>
          <w:sz w:val="44"/>
          <w:szCs w:val="44"/>
          <w:highlight w:val="none"/>
          <w:u w:val="none" w:color="auto"/>
          <w:lang w:eastAsia="zh-CN"/>
          <w14:textFill>
            <w14:solidFill>
              <w14:schemeClr w14:val="tx1"/>
            </w14:solidFill>
          </w14:textFill>
        </w:rPr>
      </w:pPr>
      <w:bookmarkStart w:id="1" w:name="_GoBack"/>
      <w:bookmarkStart w:id="0" w:name="_Toc799406888"/>
      <w:r>
        <w:rPr>
          <w:rFonts w:hint="eastAsia" w:ascii="Times New Roman" w:hAnsi="Times New Roman" w:eastAsia="方正小标宋简体" w:cs="方正小标宋简体"/>
          <w:bCs/>
          <w:color w:val="000000" w:themeColor="text1"/>
          <w:sz w:val="44"/>
          <w:szCs w:val="44"/>
          <w:highlight w:val="none"/>
          <w:u w:val="none" w:color="auto"/>
          <w14:textFill>
            <w14:solidFill>
              <w14:schemeClr w14:val="tx1"/>
            </w14:solidFill>
          </w14:textFill>
        </w:rPr>
        <w:t>深圳市福田区支持先进制造业发展若干</w:t>
      </w:r>
      <w:r>
        <w:rPr>
          <w:rFonts w:hint="eastAsia" w:ascii="Times New Roman" w:hAnsi="Times New Roman" w:eastAsia="方正小标宋简体" w:cs="方正小标宋简体"/>
          <w:bCs/>
          <w:color w:val="000000" w:themeColor="text1"/>
          <w:sz w:val="44"/>
          <w:szCs w:val="44"/>
          <w:highlight w:val="none"/>
          <w:u w:val="none" w:color="auto"/>
          <w:lang w:eastAsia="zh-CN"/>
          <w14:textFill>
            <w14:solidFill>
              <w14:schemeClr w14:val="tx1"/>
            </w14:solidFill>
          </w14:textFill>
        </w:rPr>
        <w:t>措施</w:t>
      </w:r>
      <w:bookmarkEnd w:id="0"/>
    </w:p>
    <w:bookmarkEnd w:id="1"/>
    <w:p>
      <w:pPr>
        <w:keepNext w:val="0"/>
        <w:keepLines w:val="0"/>
        <w:pageBreakBefore w:val="0"/>
        <w:widowControl w:val="0"/>
        <w:kinsoku/>
        <w:wordWrap/>
        <w:overflowPunct w:val="0"/>
        <w:topLinePunct w:val="0"/>
        <w:autoSpaceDE w:val="0"/>
        <w:autoSpaceDN w:val="0"/>
        <w:bidi w:val="0"/>
        <w:adjustRightInd w:val="0"/>
        <w:snapToGrid w:val="0"/>
        <w:spacing w:line="560" w:lineRule="exact"/>
        <w:rPr>
          <w:rFonts w:hint="eastAsia" w:ascii="Times New Roman" w:hAnsi="Times New Roman"/>
          <w:bCs/>
          <w:color w:val="000000" w:themeColor="text1"/>
          <w:sz w:val="32"/>
          <w:szCs w:val="32"/>
          <w:highlight w:val="none"/>
          <w:u w:val="none" w:color="auto"/>
          <w14:textFill>
            <w14:solidFill>
              <w14:schemeClr w14:val="tx1"/>
            </w14:solidFill>
          </w14:textFill>
        </w:rPr>
      </w:pPr>
    </w:p>
    <w:p>
      <w:pPr>
        <w:keepNext w:val="0"/>
        <w:keepLines w:val="0"/>
        <w:pageBreakBefore w:val="0"/>
        <w:widowControl w:val="0"/>
        <w:numPr>
          <w:ilvl w:val="0"/>
          <w:numId w:val="1"/>
        </w:numPr>
        <w:kinsoku/>
        <w:wordWrap/>
        <w:overflowPunct w:val="0"/>
        <w:topLinePunct w:val="0"/>
        <w:autoSpaceDE w:val="0"/>
        <w:autoSpaceDN w:val="0"/>
        <w:bidi w:val="0"/>
        <w:adjustRightInd w:val="0"/>
        <w:snapToGrid w:val="0"/>
        <w:spacing w:beforeLines="0" w:afterLines="0" w:line="550" w:lineRule="exact"/>
        <w:ind w:firstLine="640" w:firstLineChars="200"/>
        <w:rPr>
          <w:rStyle w:val="5"/>
          <w:rFonts w:hint="eastAsia" w:ascii="Times New Roman" w:hAnsi="Times New Roman" w:eastAsia="黑体"/>
          <w:b w:val="0"/>
          <w:color w:val="000000" w:themeColor="text1"/>
          <w:sz w:val="32"/>
          <w:szCs w:val="24"/>
          <w:highlight w:val="none"/>
          <w:u w:val="none" w:color="auto"/>
          <w14:textFill>
            <w14:solidFill>
              <w14:schemeClr w14:val="tx1"/>
            </w14:solidFill>
          </w14:textFill>
        </w:rPr>
      </w:pPr>
      <w:r>
        <w:rPr>
          <w:rStyle w:val="5"/>
          <w:rFonts w:hint="eastAsia" w:ascii="Times New Roman" w:hAnsi="Times New Roman" w:eastAsia="黑体"/>
          <w:b w:val="0"/>
          <w:color w:val="000000" w:themeColor="text1"/>
          <w:sz w:val="32"/>
          <w:szCs w:val="24"/>
          <w:highlight w:val="none"/>
          <w:u w:val="none" w:color="auto"/>
          <w14:textFill>
            <w14:solidFill>
              <w14:schemeClr w14:val="tx1"/>
            </w14:solidFill>
          </w14:textFill>
        </w:rPr>
        <w:t>宗旨</w:t>
      </w:r>
    </w:p>
    <w:p>
      <w:pPr>
        <w:keepNext w:val="0"/>
        <w:keepLines w:val="0"/>
        <w:pageBreakBefore w:val="0"/>
        <w:widowControl w:val="0"/>
        <w:kinsoku/>
        <w:wordWrap/>
        <w:overflowPunct w:val="0"/>
        <w:topLinePunct w:val="0"/>
        <w:autoSpaceDE w:val="0"/>
        <w:autoSpaceDN w:val="0"/>
        <w:bidi w:val="0"/>
        <w:adjustRightInd w:val="0"/>
        <w:snapToGrid w:val="0"/>
        <w:spacing w:beforeLines="0" w:afterLines="0" w:line="550" w:lineRule="exact"/>
        <w:ind w:firstLine="640" w:firstLineChars="200"/>
        <w:rPr>
          <w:rFonts w:hint="default" w:ascii="Times New Roman" w:hAnsi="Times New Roman"/>
          <w:color w:val="000000" w:themeColor="text1"/>
          <w:kern w:val="0"/>
          <w:sz w:val="32"/>
          <w:szCs w:val="24"/>
          <w:highlight w:val="none"/>
          <w:u w:val="none" w:color="auto"/>
          <w14:textFill>
            <w14:solidFill>
              <w14:schemeClr w14:val="tx1"/>
            </w14:solidFill>
          </w14:textFill>
        </w:rPr>
      </w:pPr>
      <w:r>
        <w:rPr>
          <w:rFonts w:hint="eastAsia" w:ascii="Times New Roman" w:hAnsi="Times New Roman" w:eastAsia="仿宋_GB2312"/>
          <w:color w:val="000000" w:themeColor="text1"/>
          <w:sz w:val="32"/>
          <w:szCs w:val="24"/>
          <w:highlight w:val="none"/>
          <w:u w:val="none" w:color="auto"/>
          <w14:textFill>
            <w14:solidFill>
              <w14:schemeClr w14:val="tx1"/>
            </w14:solidFill>
          </w14:textFill>
        </w:rPr>
        <w:t>为促进福田区先进制造业发展，营造良好营商环境，推动辖区经济高质量发展，根据</w:t>
      </w:r>
      <w:r>
        <w:rPr>
          <w:rFonts w:hint="eastAsia" w:ascii="Times New Roman" w:hAnsi="Times New Roman" w:eastAsia="仿宋_GB2312"/>
          <w:color w:val="000000" w:themeColor="text1"/>
          <w:sz w:val="32"/>
          <w:szCs w:val="24"/>
          <w:highlight w:val="none"/>
          <w:u w:val="none" w:color="auto"/>
          <w:lang w:val="en-US" w:eastAsia="zh-CN"/>
          <w14:textFill>
            <w14:solidFill>
              <w14:schemeClr w14:val="tx1"/>
            </w14:solidFill>
          </w14:textFill>
        </w:rPr>
        <w:t>《深圳市福田区加强产业高质量发展政策体系建设的实施意见》《深圳市福田区产业发展专项资金管理办法》《深圳市福田区产业空间资源协同管理办法》</w:t>
      </w:r>
      <w:r>
        <w:rPr>
          <w:rFonts w:hint="eastAsia" w:ascii="Times New Roman" w:hAnsi="Times New Roman" w:eastAsia="仿宋_GB2312"/>
          <w:color w:val="000000" w:themeColor="text1"/>
          <w:sz w:val="32"/>
          <w:szCs w:val="24"/>
          <w:highlight w:val="none"/>
          <w:u w:val="none" w:color="auto"/>
          <w14:textFill>
            <w14:solidFill>
              <w14:schemeClr w14:val="tx1"/>
            </w14:solidFill>
          </w14:textFill>
        </w:rPr>
        <w:t>等有关规定</w:t>
      </w:r>
      <w:r>
        <w:rPr>
          <w:rFonts w:hint="eastAsia" w:ascii="Times New Roman" w:hAnsi="Times New Roman" w:eastAsia="仿宋_GB2312"/>
          <w:color w:val="000000" w:themeColor="text1"/>
          <w:sz w:val="32"/>
          <w:szCs w:val="24"/>
          <w:highlight w:val="none"/>
          <w:u w:val="none" w:color="auto"/>
          <w:lang w:eastAsia="zh-CN"/>
          <w14:textFill>
            <w14:solidFill>
              <w14:schemeClr w14:val="tx1"/>
            </w14:solidFill>
          </w14:textFill>
        </w:rPr>
        <w:t>，</w:t>
      </w:r>
      <w:r>
        <w:rPr>
          <w:rFonts w:hint="eastAsia" w:ascii="Times New Roman" w:hAnsi="Times New Roman" w:eastAsia="仿宋_GB2312"/>
          <w:color w:val="000000" w:themeColor="text1"/>
          <w:sz w:val="32"/>
          <w:szCs w:val="24"/>
          <w:highlight w:val="none"/>
          <w:u w:val="none" w:color="auto"/>
          <w14:textFill>
            <w14:solidFill>
              <w14:schemeClr w14:val="tx1"/>
            </w14:solidFill>
          </w14:textFill>
        </w:rPr>
        <w:t>制定本措施。</w:t>
      </w:r>
    </w:p>
    <w:p>
      <w:pPr>
        <w:keepNext w:val="0"/>
        <w:keepLines w:val="0"/>
        <w:pageBreakBefore w:val="0"/>
        <w:widowControl w:val="0"/>
        <w:numPr>
          <w:ilvl w:val="0"/>
          <w:numId w:val="1"/>
        </w:numPr>
        <w:kinsoku/>
        <w:wordWrap/>
        <w:overflowPunct w:val="0"/>
        <w:topLinePunct w:val="0"/>
        <w:autoSpaceDE w:val="0"/>
        <w:autoSpaceDN w:val="0"/>
        <w:bidi w:val="0"/>
        <w:adjustRightInd w:val="0"/>
        <w:snapToGrid w:val="0"/>
        <w:spacing w:beforeLines="0" w:afterLines="0" w:line="550" w:lineRule="exact"/>
        <w:ind w:firstLine="640" w:firstLineChars="200"/>
        <w:rPr>
          <w:rStyle w:val="5"/>
          <w:rFonts w:hint="eastAsia" w:ascii="Times New Roman" w:hAnsi="Times New Roman" w:eastAsia="黑体"/>
          <w:b w:val="0"/>
          <w:color w:val="000000" w:themeColor="text1"/>
          <w:sz w:val="32"/>
          <w:szCs w:val="24"/>
          <w:highlight w:val="none"/>
          <w:u w:val="none" w:color="auto"/>
          <w14:textFill>
            <w14:solidFill>
              <w14:schemeClr w14:val="tx1"/>
            </w14:solidFill>
          </w14:textFill>
        </w:rPr>
      </w:pPr>
      <w:r>
        <w:rPr>
          <w:rStyle w:val="5"/>
          <w:rFonts w:hint="eastAsia" w:ascii="Times New Roman" w:hAnsi="Times New Roman" w:eastAsia="黑体"/>
          <w:b w:val="0"/>
          <w:color w:val="000000" w:themeColor="text1"/>
          <w:sz w:val="32"/>
          <w:szCs w:val="24"/>
          <w:highlight w:val="none"/>
          <w:u w:val="none" w:color="auto"/>
          <w14:textFill>
            <w14:solidFill>
              <w14:schemeClr w14:val="tx1"/>
            </w14:solidFill>
          </w14:textFill>
        </w:rPr>
        <w:t>支持对象</w:t>
      </w:r>
    </w:p>
    <w:p>
      <w:pPr>
        <w:keepNext w:val="0"/>
        <w:keepLines w:val="0"/>
        <w:pageBreakBefore w:val="0"/>
        <w:widowControl w:val="0"/>
        <w:kinsoku/>
        <w:wordWrap/>
        <w:overflowPunct w:val="0"/>
        <w:topLinePunct w:val="0"/>
        <w:autoSpaceDE w:val="0"/>
        <w:autoSpaceDN w:val="0"/>
        <w:bidi w:val="0"/>
        <w:adjustRightInd w:val="0"/>
        <w:snapToGrid w:val="0"/>
        <w:spacing w:beforeLines="0" w:afterLines="0" w:line="550" w:lineRule="exact"/>
        <w:ind w:firstLine="640" w:firstLineChars="200"/>
        <w:rPr>
          <w:rFonts w:hint="eastAsia" w:ascii="Times New Roman" w:hAnsi="Times New Roman" w:eastAsia="仿宋_GB2312"/>
          <w:color w:val="000000" w:themeColor="text1"/>
          <w:sz w:val="32"/>
          <w:szCs w:val="24"/>
          <w:highlight w:val="none"/>
          <w:u w:val="none" w:color="auto"/>
          <w14:textFill>
            <w14:solidFill>
              <w14:schemeClr w14:val="tx1"/>
            </w14:solidFill>
          </w14:textFill>
        </w:rPr>
      </w:pPr>
      <w:r>
        <w:rPr>
          <w:rFonts w:hint="eastAsia" w:ascii="Times New Roman" w:hAnsi="Times New Roman" w:eastAsia="仿宋_GB2312"/>
          <w:color w:val="000000" w:themeColor="text1"/>
          <w:sz w:val="32"/>
          <w:szCs w:val="24"/>
          <w:highlight w:val="none"/>
          <w:u w:val="none" w:color="auto"/>
          <w14:textFill>
            <w14:solidFill>
              <w14:schemeClr w14:val="tx1"/>
            </w14:solidFill>
          </w14:textFill>
        </w:rPr>
        <w:t>本措施适用于</w:t>
      </w:r>
      <w:r>
        <w:rPr>
          <w:rFonts w:hint="eastAsia" w:ascii="Times New Roman" w:hAnsi="Times New Roman" w:eastAsia="仿宋_GB2312"/>
          <w:color w:val="000000" w:themeColor="text1"/>
          <w:sz w:val="32"/>
          <w:szCs w:val="24"/>
          <w:highlight w:val="none"/>
          <w:u w:val="none" w:color="auto"/>
          <w:lang w:eastAsia="zh-CN"/>
          <w14:textFill>
            <w14:solidFill>
              <w14:schemeClr w14:val="tx1"/>
            </w14:solidFill>
          </w14:textFill>
        </w:rPr>
        <w:t>符合政策支持条件</w:t>
      </w:r>
      <w:r>
        <w:rPr>
          <w:rFonts w:hint="eastAsia" w:ascii="Times New Roman" w:hAnsi="Times New Roman" w:eastAsia="仿宋_GB2312"/>
          <w:color w:val="000000" w:themeColor="text1"/>
          <w:sz w:val="32"/>
          <w:szCs w:val="24"/>
          <w:highlight w:val="none"/>
          <w:u w:val="none" w:color="auto"/>
          <w14:textFill>
            <w14:solidFill>
              <w14:schemeClr w14:val="tx1"/>
            </w14:solidFill>
          </w14:textFill>
        </w:rPr>
        <w:t>的企业，</w:t>
      </w:r>
      <w:r>
        <w:rPr>
          <w:rFonts w:hint="eastAsia" w:ascii="Times New Roman" w:hAnsi="Times New Roman" w:eastAsia="仿宋_GB2312"/>
          <w:color w:val="000000" w:themeColor="text1"/>
          <w:sz w:val="32"/>
          <w:szCs w:val="24"/>
          <w:highlight w:val="none"/>
          <w:u w:val="none" w:color="auto"/>
          <w:lang w:eastAsia="zh-CN"/>
          <w14:textFill>
            <w14:solidFill>
              <w14:schemeClr w14:val="tx1"/>
            </w14:solidFill>
          </w14:textFill>
        </w:rPr>
        <w:t>且</w:t>
      </w:r>
      <w:r>
        <w:rPr>
          <w:rFonts w:hint="eastAsia" w:ascii="Times New Roman" w:hAnsi="Times New Roman" w:eastAsia="仿宋_GB2312"/>
          <w:color w:val="000000" w:themeColor="text1"/>
          <w:sz w:val="32"/>
          <w:szCs w:val="24"/>
          <w:highlight w:val="none"/>
          <w:u w:val="none" w:color="auto"/>
          <w14:textFill>
            <w14:solidFill>
              <w14:schemeClr w14:val="tx1"/>
            </w14:solidFill>
          </w14:textFill>
        </w:rPr>
        <w:t>具有独立法人资格、健全的财务制度、实行独立核算的先进制造业、5G应用、工业设计、专精特新及其他有工业投资项目的企事业单位（机构）等。</w:t>
      </w:r>
    </w:p>
    <w:p>
      <w:pPr>
        <w:keepNext w:val="0"/>
        <w:keepLines w:val="0"/>
        <w:pageBreakBefore w:val="0"/>
        <w:widowControl w:val="0"/>
        <w:numPr>
          <w:ilvl w:val="0"/>
          <w:numId w:val="1"/>
        </w:numPr>
        <w:kinsoku/>
        <w:wordWrap/>
        <w:overflowPunct w:val="0"/>
        <w:topLinePunct w:val="0"/>
        <w:autoSpaceDE w:val="0"/>
        <w:autoSpaceDN w:val="0"/>
        <w:bidi w:val="0"/>
        <w:adjustRightInd w:val="0"/>
        <w:snapToGrid w:val="0"/>
        <w:spacing w:beforeLines="0" w:afterLines="0" w:line="550" w:lineRule="exact"/>
        <w:ind w:firstLine="640" w:firstLineChars="200"/>
        <w:rPr>
          <w:rStyle w:val="5"/>
          <w:rFonts w:hint="eastAsia" w:ascii="Times New Roman" w:hAnsi="Times New Roman" w:eastAsia="黑体"/>
          <w:b w:val="0"/>
          <w:color w:val="000000" w:themeColor="text1"/>
          <w:sz w:val="32"/>
          <w:szCs w:val="24"/>
          <w:highlight w:val="none"/>
          <w:u w:val="none" w:color="auto"/>
          <w14:textFill>
            <w14:solidFill>
              <w14:schemeClr w14:val="tx1"/>
            </w14:solidFill>
          </w14:textFill>
        </w:rPr>
      </w:pPr>
      <w:r>
        <w:rPr>
          <w:rStyle w:val="5"/>
          <w:rFonts w:hint="eastAsia" w:ascii="Times New Roman" w:hAnsi="Times New Roman" w:eastAsia="黑体"/>
          <w:b w:val="0"/>
          <w:color w:val="000000" w:themeColor="text1"/>
          <w:sz w:val="32"/>
          <w:szCs w:val="24"/>
          <w:highlight w:val="none"/>
          <w:u w:val="none" w:color="auto"/>
          <w14:textFill>
            <w14:solidFill>
              <w14:schemeClr w14:val="tx1"/>
            </w14:solidFill>
          </w14:textFill>
        </w:rPr>
        <w:t>招商引资支持</w:t>
      </w:r>
    </w:p>
    <w:p>
      <w:pPr>
        <w:keepNext w:val="0"/>
        <w:keepLines w:val="0"/>
        <w:pageBreakBefore w:val="0"/>
        <w:widowControl w:val="0"/>
        <w:kinsoku/>
        <w:wordWrap/>
        <w:overflowPunct w:val="0"/>
        <w:topLinePunct w:val="0"/>
        <w:autoSpaceDE w:val="0"/>
        <w:autoSpaceDN w:val="0"/>
        <w:bidi w:val="0"/>
        <w:adjustRightInd w:val="0"/>
        <w:snapToGrid w:val="0"/>
        <w:spacing w:beforeLines="0" w:afterLines="0" w:line="550" w:lineRule="exact"/>
        <w:ind w:firstLine="640" w:firstLineChars="200"/>
        <w:rPr>
          <w:rFonts w:hint="eastAsia" w:ascii="Times New Roman" w:hAnsi="Times New Roman" w:eastAsia="仿宋_GB2312"/>
          <w:color w:val="000000" w:themeColor="text1"/>
          <w:sz w:val="32"/>
          <w:szCs w:val="24"/>
          <w:highlight w:val="none"/>
          <w:u w:val="none" w:color="auto"/>
          <w:lang w:eastAsia="zh-CN"/>
          <w14:textFill>
            <w14:solidFill>
              <w14:schemeClr w14:val="tx1"/>
            </w14:solidFill>
          </w14:textFill>
        </w:rPr>
      </w:pPr>
      <w:r>
        <w:rPr>
          <w:rFonts w:hint="eastAsia" w:ascii="Times New Roman" w:hAnsi="Times New Roman" w:eastAsia="仿宋_GB2312"/>
          <w:color w:val="000000" w:themeColor="text1"/>
          <w:sz w:val="32"/>
          <w:szCs w:val="24"/>
          <w:highlight w:val="none"/>
          <w:u w:val="none" w:color="auto"/>
          <w14:textFill>
            <w14:solidFill>
              <w14:schemeClr w14:val="tx1"/>
            </w14:solidFill>
          </w14:textFill>
        </w:rPr>
        <w:t>（一）落户支持。</w:t>
      </w:r>
      <w:r>
        <w:rPr>
          <w:rFonts w:hint="eastAsia" w:ascii="Times New Roman" w:hAnsi="Times New Roman" w:eastAsia="仿宋_GB2312"/>
          <w:color w:val="000000" w:themeColor="text1"/>
          <w:sz w:val="32"/>
          <w:szCs w:val="24"/>
          <w:highlight w:val="none"/>
          <w:u w:val="none" w:color="auto"/>
          <w:lang w:eastAsia="zh-CN"/>
          <w14:textFill>
            <w14:solidFill>
              <w14:schemeClr w14:val="tx1"/>
            </w14:solidFill>
          </w14:textFill>
        </w:rPr>
        <w:t>新落户福田区的企业（机构），符合福田区产业发展规划导向，依据规模和贡献等条件，给予落户支持、办公用房、场地装修、人才安置、落户直通车等，合计最高1亿元支持。具体按《深圳市福田区支持招商引资若干政策》实施。</w:t>
      </w:r>
    </w:p>
    <w:p>
      <w:pPr>
        <w:keepNext w:val="0"/>
        <w:keepLines w:val="0"/>
        <w:pageBreakBefore w:val="0"/>
        <w:widowControl w:val="0"/>
        <w:tabs>
          <w:tab w:val="left" w:pos="420"/>
        </w:tabs>
        <w:kinsoku/>
        <w:wordWrap/>
        <w:overflowPunct w:val="0"/>
        <w:topLinePunct w:val="0"/>
        <w:autoSpaceDE w:val="0"/>
        <w:autoSpaceDN w:val="0"/>
        <w:bidi w:val="0"/>
        <w:adjustRightInd w:val="0"/>
        <w:snapToGrid w:val="0"/>
        <w:spacing w:beforeLines="0" w:afterLines="0" w:line="550" w:lineRule="exact"/>
        <w:ind w:firstLine="640" w:firstLineChars="200"/>
        <w:rPr>
          <w:rFonts w:hint="eastAsia" w:ascii="Times New Roman" w:hAnsi="Times New Roman" w:eastAsia="仿宋_GB2312"/>
          <w:color w:val="000000" w:themeColor="text1"/>
          <w:sz w:val="32"/>
          <w:szCs w:val="24"/>
          <w:highlight w:val="none"/>
          <w:u w:val="none" w:color="auto"/>
          <w14:textFill>
            <w14:solidFill>
              <w14:schemeClr w14:val="tx1"/>
            </w14:solidFill>
          </w14:textFill>
        </w:rPr>
      </w:pPr>
      <w:r>
        <w:rPr>
          <w:rFonts w:hint="eastAsia" w:ascii="Times New Roman" w:hAnsi="Times New Roman" w:eastAsia="仿宋_GB2312"/>
          <w:color w:val="000000" w:themeColor="text1"/>
          <w:sz w:val="32"/>
          <w:szCs w:val="24"/>
          <w:highlight w:val="none"/>
          <w:u w:val="none" w:color="auto"/>
          <w14:textFill>
            <w14:solidFill>
              <w14:schemeClr w14:val="tx1"/>
            </w14:solidFill>
          </w14:textFill>
        </w:rPr>
        <w:t>（二）招商合作机构支持。对经区政府认可的招商合作机构，按条件给予招商合作机构支持，最高50万元/年。为福田区有效引进目标企业（机构）的机构或个人，按条件给予引进支持，单个项目最高100万元，</w:t>
      </w:r>
      <w:r>
        <w:rPr>
          <w:rFonts w:hint="eastAsia" w:ascii="Times New Roman" w:hAnsi="Times New Roman" w:eastAsia="仿宋_GB2312"/>
          <w:color w:val="000000" w:themeColor="text1"/>
          <w:sz w:val="32"/>
          <w:szCs w:val="24"/>
          <w:highlight w:val="none"/>
          <w:u w:val="none" w:color="auto"/>
          <w:lang w:eastAsia="zh-CN"/>
          <w14:textFill>
            <w14:solidFill>
              <w14:schemeClr w14:val="tx1"/>
            </w14:solidFill>
          </w14:textFill>
        </w:rPr>
        <w:t>最高500万元/年</w:t>
      </w:r>
      <w:r>
        <w:rPr>
          <w:rFonts w:hint="eastAsia" w:ascii="Times New Roman" w:hAnsi="Times New Roman" w:eastAsia="仿宋_GB2312"/>
          <w:color w:val="000000" w:themeColor="text1"/>
          <w:sz w:val="32"/>
          <w:szCs w:val="24"/>
          <w:highlight w:val="none"/>
          <w:u w:val="none" w:color="auto"/>
          <w14:textFill>
            <w14:solidFill>
              <w14:schemeClr w14:val="tx1"/>
            </w14:solidFill>
          </w14:textFill>
        </w:rPr>
        <w:t>。</w:t>
      </w:r>
    </w:p>
    <w:p>
      <w:pPr>
        <w:keepNext w:val="0"/>
        <w:keepLines w:val="0"/>
        <w:pageBreakBefore w:val="0"/>
        <w:widowControl w:val="0"/>
        <w:numPr>
          <w:ilvl w:val="0"/>
          <w:numId w:val="1"/>
        </w:numPr>
        <w:kinsoku/>
        <w:wordWrap/>
        <w:overflowPunct w:val="0"/>
        <w:topLinePunct w:val="0"/>
        <w:autoSpaceDE w:val="0"/>
        <w:autoSpaceDN w:val="0"/>
        <w:bidi w:val="0"/>
        <w:adjustRightInd w:val="0"/>
        <w:snapToGrid w:val="0"/>
        <w:spacing w:beforeLines="0" w:afterLines="0" w:line="550" w:lineRule="exact"/>
        <w:ind w:firstLine="640" w:firstLineChars="200"/>
        <w:rPr>
          <w:rStyle w:val="5"/>
          <w:rFonts w:hint="eastAsia" w:ascii="Times New Roman" w:hAnsi="Times New Roman" w:eastAsia="黑体"/>
          <w:b w:val="0"/>
          <w:color w:val="000000" w:themeColor="text1"/>
          <w:sz w:val="32"/>
          <w:szCs w:val="24"/>
          <w:highlight w:val="none"/>
          <w:u w:val="none" w:color="auto"/>
          <w14:textFill>
            <w14:solidFill>
              <w14:schemeClr w14:val="tx1"/>
            </w14:solidFill>
          </w14:textFill>
        </w:rPr>
      </w:pPr>
      <w:r>
        <w:rPr>
          <w:rStyle w:val="5"/>
          <w:rFonts w:hint="eastAsia" w:ascii="Times New Roman" w:hAnsi="Times New Roman" w:eastAsia="黑体"/>
          <w:b w:val="0"/>
          <w:color w:val="000000" w:themeColor="text1"/>
          <w:sz w:val="32"/>
          <w:szCs w:val="24"/>
          <w:highlight w:val="none"/>
          <w:u w:val="none" w:color="auto"/>
          <w14:textFill>
            <w14:solidFill>
              <w14:schemeClr w14:val="tx1"/>
            </w14:solidFill>
          </w14:textFill>
        </w:rPr>
        <w:t>总部企业支持</w:t>
      </w:r>
    </w:p>
    <w:p>
      <w:pPr>
        <w:keepNext w:val="0"/>
        <w:keepLines w:val="0"/>
        <w:pageBreakBefore w:val="0"/>
        <w:widowControl w:val="0"/>
        <w:numPr>
          <w:ilvl w:val="0"/>
          <w:numId w:val="0"/>
        </w:numPr>
        <w:tabs>
          <w:tab w:val="left" w:pos="420"/>
        </w:tabs>
        <w:kinsoku/>
        <w:wordWrap/>
        <w:overflowPunct w:val="0"/>
        <w:topLinePunct w:val="0"/>
        <w:autoSpaceDE w:val="0"/>
        <w:autoSpaceDN w:val="0"/>
        <w:bidi w:val="0"/>
        <w:adjustRightInd w:val="0"/>
        <w:snapToGrid w:val="0"/>
        <w:spacing w:beforeLines="0" w:afterLines="0" w:line="550" w:lineRule="exact"/>
        <w:ind w:firstLine="640" w:firstLineChars="200"/>
        <w:rPr>
          <w:rFonts w:hint="eastAsia" w:ascii="Times New Roman" w:hAnsi="Times New Roman" w:eastAsia="仿宋_GB2312"/>
          <w:color w:val="000000" w:themeColor="text1"/>
          <w:sz w:val="32"/>
          <w:szCs w:val="24"/>
          <w:highlight w:val="none"/>
          <w:u w:val="none" w:color="auto"/>
          <w14:textFill>
            <w14:solidFill>
              <w14:schemeClr w14:val="tx1"/>
            </w14:solidFill>
          </w14:textFill>
        </w:rPr>
      </w:pPr>
      <w:r>
        <w:rPr>
          <w:rFonts w:hint="eastAsia" w:ascii="Times New Roman" w:hAnsi="Times New Roman" w:eastAsia="仿宋_GB2312"/>
          <w:color w:val="000000" w:themeColor="text1"/>
          <w:sz w:val="32"/>
          <w:szCs w:val="24"/>
          <w:highlight w:val="none"/>
          <w:u w:val="none" w:color="auto"/>
          <w14:textFill>
            <w14:solidFill>
              <w14:schemeClr w14:val="tx1"/>
            </w14:solidFill>
          </w14:textFill>
        </w:rPr>
        <w:t>（一）总部认定支持。首次认定福田区总部企业，可依条件给予认定支持，最高500万元。总部企业认定具体依据《深圳市福田区支持总部经济发展若干政策》及其操作细则实施。</w:t>
      </w:r>
    </w:p>
    <w:p>
      <w:pPr>
        <w:keepNext w:val="0"/>
        <w:keepLines w:val="0"/>
        <w:pageBreakBefore w:val="0"/>
        <w:widowControl w:val="0"/>
        <w:numPr>
          <w:ilvl w:val="0"/>
          <w:numId w:val="0"/>
        </w:numPr>
        <w:tabs>
          <w:tab w:val="left" w:pos="420"/>
        </w:tabs>
        <w:kinsoku/>
        <w:wordWrap/>
        <w:overflowPunct w:val="0"/>
        <w:topLinePunct w:val="0"/>
        <w:autoSpaceDE w:val="0"/>
        <w:autoSpaceDN w:val="0"/>
        <w:bidi w:val="0"/>
        <w:adjustRightInd w:val="0"/>
        <w:snapToGrid w:val="0"/>
        <w:spacing w:beforeLines="0" w:afterLines="0" w:line="550" w:lineRule="exact"/>
        <w:ind w:firstLine="640" w:firstLineChars="200"/>
        <w:rPr>
          <w:rFonts w:hint="eastAsia" w:ascii="Times New Roman" w:hAnsi="Times New Roman" w:eastAsia="仿宋_GB2312"/>
          <w:color w:val="000000" w:themeColor="text1"/>
          <w:spacing w:val="-6"/>
          <w:sz w:val="32"/>
          <w:szCs w:val="24"/>
          <w:highlight w:val="none"/>
          <w:u w:val="none" w:color="auto"/>
          <w14:textFill>
            <w14:solidFill>
              <w14:schemeClr w14:val="tx1"/>
            </w14:solidFill>
          </w14:textFill>
        </w:rPr>
      </w:pPr>
      <w:r>
        <w:rPr>
          <w:rFonts w:hint="eastAsia" w:ascii="Times New Roman" w:hAnsi="Times New Roman" w:eastAsia="仿宋_GB2312"/>
          <w:color w:val="000000" w:themeColor="text1"/>
          <w:sz w:val="32"/>
          <w:szCs w:val="24"/>
          <w:highlight w:val="none"/>
          <w:u w:val="none" w:color="auto"/>
          <w14:textFill>
            <w14:solidFill>
              <w14:schemeClr w14:val="tx1"/>
            </w14:solidFill>
          </w14:textFill>
        </w:rPr>
        <w:t>（二）总部用地支持。符合条件的总部企业可依据《深圳市总部项目遴选及用地供应管理办法》及福田区总部项目、重点产业项目遴选实施办法等相关政策，以及当年公布的遴选方案申请总部用地支持。</w:t>
      </w:r>
    </w:p>
    <w:p>
      <w:pPr>
        <w:keepNext w:val="0"/>
        <w:keepLines w:val="0"/>
        <w:pageBreakBefore w:val="0"/>
        <w:widowControl w:val="0"/>
        <w:numPr>
          <w:ilvl w:val="0"/>
          <w:numId w:val="1"/>
        </w:numPr>
        <w:kinsoku/>
        <w:wordWrap/>
        <w:overflowPunct w:val="0"/>
        <w:topLinePunct w:val="0"/>
        <w:autoSpaceDE w:val="0"/>
        <w:autoSpaceDN w:val="0"/>
        <w:bidi w:val="0"/>
        <w:adjustRightInd w:val="0"/>
        <w:snapToGrid w:val="0"/>
        <w:spacing w:beforeLines="0" w:afterLines="0" w:line="550" w:lineRule="exact"/>
        <w:ind w:firstLine="640" w:firstLineChars="200"/>
        <w:rPr>
          <w:rStyle w:val="5"/>
          <w:rFonts w:hint="eastAsia" w:ascii="Times New Roman" w:hAnsi="Times New Roman" w:eastAsia="黑体"/>
          <w:b w:val="0"/>
          <w:color w:val="000000" w:themeColor="text1"/>
          <w:sz w:val="32"/>
          <w:szCs w:val="24"/>
          <w:highlight w:val="none"/>
          <w:u w:val="none" w:color="auto"/>
          <w14:textFill>
            <w14:solidFill>
              <w14:schemeClr w14:val="tx1"/>
            </w14:solidFill>
          </w14:textFill>
        </w:rPr>
      </w:pPr>
      <w:r>
        <w:rPr>
          <w:rStyle w:val="5"/>
          <w:rFonts w:hint="eastAsia" w:ascii="Times New Roman" w:hAnsi="Times New Roman" w:eastAsia="黑体"/>
          <w:b w:val="0"/>
          <w:color w:val="000000" w:themeColor="text1"/>
          <w:sz w:val="32"/>
          <w:szCs w:val="24"/>
          <w:highlight w:val="none"/>
          <w:u w:val="none" w:color="auto"/>
          <w14:textFill>
            <w14:solidFill>
              <w14:schemeClr w14:val="tx1"/>
            </w14:solidFill>
          </w14:textFill>
        </w:rPr>
        <w:t>城市更新支持</w:t>
      </w:r>
    </w:p>
    <w:p>
      <w:pPr>
        <w:keepNext w:val="0"/>
        <w:keepLines w:val="0"/>
        <w:pageBreakBefore w:val="0"/>
        <w:widowControl w:val="0"/>
        <w:numPr>
          <w:ilvl w:val="0"/>
          <w:numId w:val="0"/>
        </w:numPr>
        <w:kinsoku/>
        <w:wordWrap/>
        <w:overflowPunct w:val="0"/>
        <w:topLinePunct w:val="0"/>
        <w:autoSpaceDE w:val="0"/>
        <w:autoSpaceDN w:val="0"/>
        <w:bidi w:val="0"/>
        <w:adjustRightInd w:val="0"/>
        <w:snapToGrid w:val="0"/>
        <w:spacing w:beforeLines="0" w:afterLines="0" w:line="550" w:lineRule="exact"/>
        <w:ind w:firstLine="640" w:firstLineChars="200"/>
        <w:rPr>
          <w:rStyle w:val="5"/>
          <w:rFonts w:hint="eastAsia" w:ascii="Times New Roman" w:hAnsi="Times New Roman" w:eastAsia="仿宋_GB2312"/>
          <w:b w:val="0"/>
          <w:color w:val="000000" w:themeColor="text1"/>
          <w:sz w:val="32"/>
          <w:szCs w:val="24"/>
          <w:highlight w:val="none"/>
          <w:u w:val="none" w:color="auto"/>
          <w14:textFill>
            <w14:solidFill>
              <w14:schemeClr w14:val="tx1"/>
            </w14:solidFill>
          </w14:textFill>
        </w:rPr>
      </w:pPr>
      <w:r>
        <w:rPr>
          <w:rFonts w:hint="eastAsia" w:ascii="Times New Roman" w:hAnsi="Times New Roman" w:eastAsia="仿宋_GB2312"/>
          <w:color w:val="000000" w:themeColor="text1"/>
          <w:sz w:val="32"/>
          <w:szCs w:val="24"/>
          <w:highlight w:val="none"/>
          <w:u w:val="none" w:color="auto"/>
          <w:lang w:eastAsia="zh-CN"/>
          <w14:textFill>
            <w14:solidFill>
              <w14:schemeClr w14:val="tx1"/>
            </w14:solidFill>
          </w14:textFill>
        </w:rPr>
        <w:t>在旧工业区拆除重建类城市更新过程中涉及经营场所搬迁的企业，挪至其他社会物业经营的，按上年度综合贡献依条件给予支持，最高300万元。具体依据《深圳市福田区支持城市更新片区产业发展若干政策》及其操作细则实施。</w:t>
      </w:r>
    </w:p>
    <w:p>
      <w:pPr>
        <w:keepNext w:val="0"/>
        <w:keepLines w:val="0"/>
        <w:pageBreakBefore w:val="0"/>
        <w:widowControl w:val="0"/>
        <w:numPr>
          <w:ilvl w:val="0"/>
          <w:numId w:val="1"/>
        </w:numPr>
        <w:kinsoku/>
        <w:wordWrap/>
        <w:overflowPunct w:val="0"/>
        <w:topLinePunct w:val="0"/>
        <w:autoSpaceDE w:val="0"/>
        <w:autoSpaceDN w:val="0"/>
        <w:bidi w:val="0"/>
        <w:adjustRightInd w:val="0"/>
        <w:snapToGrid w:val="0"/>
        <w:spacing w:beforeLines="0" w:afterLines="0" w:line="550" w:lineRule="exact"/>
        <w:ind w:firstLine="640" w:firstLineChars="200"/>
        <w:rPr>
          <w:rStyle w:val="5"/>
          <w:rFonts w:hint="eastAsia" w:ascii="Times New Roman" w:hAnsi="Times New Roman" w:eastAsia="黑体"/>
          <w:b w:val="0"/>
          <w:color w:val="000000" w:themeColor="text1"/>
          <w:sz w:val="32"/>
          <w:szCs w:val="24"/>
          <w:highlight w:val="none"/>
          <w:u w:val="none" w:color="auto"/>
          <w14:textFill>
            <w14:solidFill>
              <w14:schemeClr w14:val="tx1"/>
            </w14:solidFill>
          </w14:textFill>
        </w:rPr>
      </w:pPr>
      <w:r>
        <w:rPr>
          <w:rStyle w:val="5"/>
          <w:rFonts w:hint="eastAsia" w:ascii="Times New Roman" w:hAnsi="Times New Roman" w:eastAsia="黑体"/>
          <w:b w:val="0"/>
          <w:color w:val="000000" w:themeColor="text1"/>
          <w:sz w:val="32"/>
          <w:szCs w:val="24"/>
          <w:highlight w:val="none"/>
          <w:u w:val="none" w:color="auto"/>
          <w14:textFill>
            <w14:solidFill>
              <w14:schemeClr w14:val="tx1"/>
            </w14:solidFill>
          </w14:textFill>
        </w:rPr>
        <w:t>企业上市支持</w:t>
      </w:r>
    </w:p>
    <w:p>
      <w:pPr>
        <w:keepNext w:val="0"/>
        <w:keepLines w:val="0"/>
        <w:pageBreakBefore w:val="0"/>
        <w:widowControl w:val="0"/>
        <w:kinsoku/>
        <w:wordWrap/>
        <w:overflowPunct w:val="0"/>
        <w:topLinePunct w:val="0"/>
        <w:autoSpaceDE w:val="0"/>
        <w:autoSpaceDN w:val="0"/>
        <w:bidi w:val="0"/>
        <w:adjustRightInd w:val="0"/>
        <w:snapToGrid w:val="0"/>
        <w:spacing w:beforeLines="0" w:afterLines="0" w:line="550" w:lineRule="exact"/>
        <w:ind w:firstLine="640" w:firstLineChars="200"/>
        <w:textAlignment w:val="center"/>
        <w:rPr>
          <w:rFonts w:hint="eastAsia" w:ascii="Times New Roman" w:hAnsi="Times New Roman" w:eastAsia="仿宋_GB2312"/>
          <w:color w:val="000000" w:themeColor="text1"/>
          <w:sz w:val="32"/>
          <w:szCs w:val="24"/>
          <w:highlight w:val="none"/>
          <w:u w:val="none" w:color="auto"/>
          <w14:textFill>
            <w14:solidFill>
              <w14:schemeClr w14:val="tx1"/>
            </w14:solidFill>
          </w14:textFill>
        </w:rPr>
      </w:pPr>
      <w:r>
        <w:rPr>
          <w:rFonts w:hint="eastAsia" w:ascii="Times New Roman" w:hAnsi="Times New Roman" w:eastAsia="仿宋_GB2312"/>
          <w:color w:val="000000" w:themeColor="text1"/>
          <w:sz w:val="32"/>
          <w:szCs w:val="24"/>
          <w:highlight w:val="none"/>
          <w:u w:val="none" w:color="auto"/>
          <w14:textFill>
            <w14:solidFill>
              <w14:schemeClr w14:val="tx1"/>
            </w14:solidFill>
          </w14:textFill>
        </w:rPr>
        <w:t>（一）上市支持。对在境内外主要证券交易所上市、采取红筹和结构性合约架构上市、新三板成功挂牌、完成上市辅导、完成股份制改造的企业，依条件给予最高1000万元支持。企业分拆上市适用企业上市支持政策。具体依据《深圳市福田区支持企业上市发展若干政策》及其操作细则实施。</w:t>
      </w:r>
    </w:p>
    <w:p>
      <w:pPr>
        <w:keepNext w:val="0"/>
        <w:keepLines w:val="0"/>
        <w:pageBreakBefore w:val="0"/>
        <w:widowControl w:val="0"/>
        <w:kinsoku/>
        <w:wordWrap/>
        <w:overflowPunct w:val="0"/>
        <w:topLinePunct w:val="0"/>
        <w:autoSpaceDE w:val="0"/>
        <w:autoSpaceDN w:val="0"/>
        <w:bidi w:val="0"/>
        <w:adjustRightInd w:val="0"/>
        <w:snapToGrid w:val="0"/>
        <w:spacing w:beforeLines="0" w:afterLines="0" w:line="550" w:lineRule="exact"/>
        <w:ind w:firstLine="640"/>
        <w:rPr>
          <w:rFonts w:hint="eastAsia" w:ascii="Times New Roman" w:hAnsi="Times New Roman" w:eastAsia="仿宋_GB2312"/>
          <w:color w:val="000000" w:themeColor="text1"/>
          <w:sz w:val="32"/>
          <w:szCs w:val="24"/>
          <w:highlight w:val="none"/>
          <w:u w:val="none" w:color="auto"/>
          <w:lang w:eastAsia="zh-CN"/>
          <w14:textFill>
            <w14:solidFill>
              <w14:schemeClr w14:val="tx1"/>
            </w14:solidFill>
          </w14:textFill>
        </w:rPr>
      </w:pPr>
      <w:r>
        <w:rPr>
          <w:rFonts w:hint="eastAsia" w:ascii="Times New Roman" w:hAnsi="Times New Roman" w:eastAsia="仿宋_GB2312"/>
          <w:color w:val="000000" w:themeColor="text1"/>
          <w:sz w:val="32"/>
          <w:szCs w:val="24"/>
          <w:highlight w:val="none"/>
          <w:u w:val="none" w:color="auto"/>
          <w14:textFill>
            <w14:solidFill>
              <w14:schemeClr w14:val="tx1"/>
            </w14:solidFill>
          </w14:textFill>
        </w:rPr>
        <w:t>（二）融资风险补偿。</w:t>
      </w:r>
      <w:r>
        <w:rPr>
          <w:rFonts w:hint="eastAsia" w:ascii="Times New Roman" w:hAnsi="Times New Roman" w:eastAsia="仿宋_GB2312"/>
          <w:color w:val="000000" w:themeColor="text1"/>
          <w:sz w:val="32"/>
          <w:szCs w:val="24"/>
          <w:highlight w:val="none"/>
          <w:u w:val="none" w:color="auto"/>
          <w:lang w:eastAsia="zh-CN"/>
          <w14:textFill>
            <w14:solidFill>
              <w14:schemeClr w14:val="tx1"/>
            </w14:solidFill>
          </w14:textFill>
        </w:rPr>
        <w:t>鼓励银行、保险公司、融资担保公司等金融机构加大对上市梯队企业信贷融资支持，依条件进行有限风险补偿，具体依据《深圳市福田区支持企业上市发展若干政策》及其操作细则实施。</w:t>
      </w:r>
    </w:p>
    <w:p>
      <w:pPr>
        <w:keepNext w:val="0"/>
        <w:keepLines w:val="0"/>
        <w:pageBreakBefore w:val="0"/>
        <w:widowControl w:val="0"/>
        <w:numPr>
          <w:ilvl w:val="0"/>
          <w:numId w:val="1"/>
        </w:numPr>
        <w:kinsoku/>
        <w:wordWrap/>
        <w:overflowPunct w:val="0"/>
        <w:topLinePunct w:val="0"/>
        <w:autoSpaceDE w:val="0"/>
        <w:autoSpaceDN w:val="0"/>
        <w:bidi w:val="0"/>
        <w:adjustRightInd w:val="0"/>
        <w:snapToGrid w:val="0"/>
        <w:spacing w:beforeLines="0" w:afterLines="0" w:line="550" w:lineRule="exact"/>
        <w:ind w:firstLine="640" w:firstLineChars="200"/>
        <w:rPr>
          <w:rStyle w:val="5"/>
          <w:rFonts w:hint="eastAsia" w:ascii="Times New Roman" w:hAnsi="Times New Roman" w:eastAsia="黑体"/>
          <w:b w:val="0"/>
          <w:color w:val="000000" w:themeColor="text1"/>
          <w:sz w:val="32"/>
          <w:szCs w:val="24"/>
          <w:highlight w:val="none"/>
          <w:u w:val="none" w:color="auto"/>
          <w14:textFill>
            <w14:solidFill>
              <w14:schemeClr w14:val="tx1"/>
            </w14:solidFill>
          </w14:textFill>
        </w:rPr>
      </w:pPr>
      <w:r>
        <w:rPr>
          <w:rStyle w:val="5"/>
          <w:rFonts w:hint="eastAsia" w:ascii="Times New Roman" w:hAnsi="Times New Roman" w:eastAsia="黑体"/>
          <w:b w:val="0"/>
          <w:color w:val="000000" w:themeColor="text1"/>
          <w:sz w:val="32"/>
          <w:szCs w:val="24"/>
          <w:highlight w:val="none"/>
          <w:u w:val="none" w:color="auto"/>
          <w14:textFill>
            <w14:solidFill>
              <w14:schemeClr w14:val="tx1"/>
            </w14:solidFill>
          </w14:textFill>
        </w:rPr>
        <w:t>产业人才支持</w:t>
      </w:r>
    </w:p>
    <w:p>
      <w:pPr>
        <w:keepNext w:val="0"/>
        <w:keepLines w:val="0"/>
        <w:pageBreakBefore w:val="0"/>
        <w:widowControl w:val="0"/>
        <w:kinsoku/>
        <w:wordWrap/>
        <w:overflowPunct w:val="0"/>
        <w:topLinePunct w:val="0"/>
        <w:autoSpaceDE w:val="0"/>
        <w:autoSpaceDN w:val="0"/>
        <w:bidi w:val="0"/>
        <w:adjustRightInd w:val="0"/>
        <w:snapToGrid w:val="0"/>
        <w:spacing w:beforeLines="0" w:afterLines="0" w:line="550" w:lineRule="exact"/>
        <w:ind w:firstLine="640"/>
        <w:rPr>
          <w:rFonts w:hint="eastAsia" w:ascii="Times New Roman" w:hAnsi="Times New Roman" w:eastAsia="仿宋_GB2312"/>
          <w:color w:val="000000" w:themeColor="text1"/>
          <w:sz w:val="32"/>
          <w:szCs w:val="24"/>
          <w:highlight w:val="none"/>
          <w:u w:val="none" w:color="auto"/>
          <w14:textFill>
            <w14:solidFill>
              <w14:schemeClr w14:val="tx1"/>
            </w14:solidFill>
          </w14:textFill>
        </w:rPr>
      </w:pPr>
      <w:r>
        <w:rPr>
          <w:rFonts w:hint="eastAsia" w:ascii="Times New Roman" w:hAnsi="Times New Roman" w:eastAsia="仿宋_GB2312"/>
          <w:color w:val="000000" w:themeColor="text1"/>
          <w:sz w:val="32"/>
          <w:szCs w:val="24"/>
          <w:highlight w:val="none"/>
          <w:u w:val="none" w:color="auto"/>
          <w14:textFill>
            <w14:solidFill>
              <w14:schemeClr w14:val="tx1"/>
            </w14:solidFill>
          </w14:textFill>
        </w:rPr>
        <w:t>对符合条件的企业（机构）及相关个人，可申请福田英才荟人才支持项目，包括但不限于大学生实习基地</w:t>
      </w:r>
      <w:r>
        <w:rPr>
          <w:rFonts w:hint="eastAsia" w:ascii="Times New Roman" w:hAnsi="Times New Roman" w:eastAsia="仿宋_GB2312"/>
          <w:color w:val="000000" w:themeColor="text1"/>
          <w:sz w:val="32"/>
          <w:szCs w:val="24"/>
          <w:highlight w:val="none"/>
          <w:u w:val="none" w:color="auto"/>
          <w:lang w:eastAsia="zh-CN"/>
          <w14:textFill>
            <w14:solidFill>
              <w14:schemeClr w14:val="tx1"/>
            </w14:solidFill>
          </w14:textFill>
        </w:rPr>
        <w:t>支持</w:t>
      </w:r>
      <w:r>
        <w:rPr>
          <w:rFonts w:hint="eastAsia" w:ascii="Times New Roman" w:hAnsi="Times New Roman" w:eastAsia="仿宋_GB2312"/>
          <w:color w:val="000000" w:themeColor="text1"/>
          <w:sz w:val="32"/>
          <w:szCs w:val="24"/>
          <w:highlight w:val="none"/>
          <w:u w:val="none" w:color="auto"/>
          <w14:textFill>
            <w14:solidFill>
              <w14:schemeClr w14:val="tx1"/>
            </w14:solidFill>
          </w14:textFill>
        </w:rPr>
        <w:t>、境外人才个税</w:t>
      </w:r>
      <w:r>
        <w:rPr>
          <w:rFonts w:hint="eastAsia" w:ascii="Times New Roman" w:hAnsi="Times New Roman" w:eastAsia="仿宋_GB2312"/>
          <w:color w:val="000000" w:themeColor="text1"/>
          <w:sz w:val="32"/>
          <w:szCs w:val="24"/>
          <w:highlight w:val="none"/>
          <w:u w:val="none" w:color="auto"/>
          <w:lang w:eastAsia="zh-CN"/>
          <w14:textFill>
            <w14:solidFill>
              <w14:schemeClr w14:val="tx1"/>
            </w14:solidFill>
          </w14:textFill>
        </w:rPr>
        <w:t>支持</w:t>
      </w:r>
      <w:r>
        <w:rPr>
          <w:rFonts w:hint="eastAsia" w:ascii="Times New Roman" w:hAnsi="Times New Roman" w:eastAsia="仿宋_GB2312"/>
          <w:color w:val="000000" w:themeColor="text1"/>
          <w:sz w:val="32"/>
          <w:szCs w:val="24"/>
          <w:highlight w:val="none"/>
          <w:u w:val="none" w:color="auto"/>
          <w14:textFill>
            <w14:solidFill>
              <w14:schemeClr w14:val="tx1"/>
            </w14:solidFill>
          </w14:textFill>
        </w:rPr>
        <w:t>、成熟型经营管理人才</w:t>
      </w:r>
      <w:r>
        <w:rPr>
          <w:rFonts w:hint="eastAsia" w:ascii="Times New Roman" w:hAnsi="Times New Roman" w:eastAsia="仿宋_GB2312"/>
          <w:color w:val="000000" w:themeColor="text1"/>
          <w:sz w:val="32"/>
          <w:szCs w:val="24"/>
          <w:highlight w:val="none"/>
          <w:u w:val="none" w:color="auto"/>
          <w:lang w:eastAsia="zh-CN"/>
          <w14:textFill>
            <w14:solidFill>
              <w14:schemeClr w14:val="tx1"/>
            </w14:solidFill>
          </w14:textFill>
        </w:rPr>
        <w:t>支持</w:t>
      </w:r>
      <w:r>
        <w:rPr>
          <w:rFonts w:hint="eastAsia" w:ascii="Times New Roman" w:hAnsi="Times New Roman" w:eastAsia="仿宋_GB2312"/>
          <w:color w:val="000000" w:themeColor="text1"/>
          <w:sz w:val="32"/>
          <w:szCs w:val="24"/>
          <w:highlight w:val="none"/>
          <w:u w:val="none" w:color="auto"/>
          <w14:textFill>
            <w14:solidFill>
              <w14:schemeClr w14:val="tx1"/>
            </w14:solidFill>
          </w14:textFill>
        </w:rPr>
        <w:t>、成长型经营管理人才</w:t>
      </w:r>
      <w:r>
        <w:rPr>
          <w:rFonts w:hint="eastAsia" w:ascii="Times New Roman" w:hAnsi="Times New Roman" w:eastAsia="仿宋_GB2312"/>
          <w:color w:val="000000" w:themeColor="text1"/>
          <w:sz w:val="32"/>
          <w:szCs w:val="24"/>
          <w:highlight w:val="none"/>
          <w:u w:val="none" w:color="auto"/>
          <w:lang w:eastAsia="zh-CN"/>
          <w14:textFill>
            <w14:solidFill>
              <w14:schemeClr w14:val="tx1"/>
            </w14:solidFill>
          </w14:textFill>
        </w:rPr>
        <w:t>支持</w:t>
      </w:r>
      <w:r>
        <w:rPr>
          <w:rFonts w:hint="eastAsia" w:ascii="Times New Roman" w:hAnsi="Times New Roman" w:eastAsia="仿宋_GB2312"/>
          <w:color w:val="000000" w:themeColor="text1"/>
          <w:sz w:val="32"/>
          <w:szCs w:val="24"/>
          <w:highlight w:val="none"/>
          <w:u w:val="none" w:color="auto"/>
          <w14:textFill>
            <w14:solidFill>
              <w14:schemeClr w14:val="tx1"/>
            </w14:solidFill>
          </w14:textFill>
        </w:rPr>
        <w:t>等，具体依据《关于进一步实施福田英才荟计划的若干措施》（福发〔2021〕10号）及当年公布的申请指南执行。</w:t>
      </w:r>
    </w:p>
    <w:p>
      <w:pPr>
        <w:keepNext w:val="0"/>
        <w:keepLines w:val="0"/>
        <w:pageBreakBefore w:val="0"/>
        <w:widowControl w:val="0"/>
        <w:numPr>
          <w:ilvl w:val="0"/>
          <w:numId w:val="1"/>
        </w:numPr>
        <w:kinsoku/>
        <w:wordWrap/>
        <w:overflowPunct w:val="0"/>
        <w:topLinePunct w:val="0"/>
        <w:autoSpaceDE w:val="0"/>
        <w:autoSpaceDN w:val="0"/>
        <w:bidi w:val="0"/>
        <w:adjustRightInd w:val="0"/>
        <w:snapToGrid w:val="0"/>
        <w:spacing w:beforeLines="0" w:afterLines="0" w:line="550" w:lineRule="exact"/>
        <w:ind w:firstLine="640" w:firstLineChars="200"/>
        <w:rPr>
          <w:rStyle w:val="5"/>
          <w:rFonts w:hint="eastAsia" w:ascii="Times New Roman" w:hAnsi="Times New Roman" w:eastAsia="黑体"/>
          <w:b w:val="0"/>
          <w:color w:val="000000" w:themeColor="text1"/>
          <w:sz w:val="32"/>
          <w:szCs w:val="24"/>
          <w:highlight w:val="none"/>
          <w:u w:val="none" w:color="auto"/>
          <w14:textFill>
            <w14:solidFill>
              <w14:schemeClr w14:val="tx1"/>
            </w14:solidFill>
          </w14:textFill>
        </w:rPr>
      </w:pPr>
      <w:r>
        <w:rPr>
          <w:rStyle w:val="5"/>
          <w:rFonts w:hint="eastAsia" w:ascii="Times New Roman" w:hAnsi="Times New Roman" w:eastAsia="黑体"/>
          <w:b w:val="0"/>
          <w:color w:val="000000" w:themeColor="text1"/>
          <w:sz w:val="32"/>
          <w:szCs w:val="24"/>
          <w:highlight w:val="none"/>
          <w:u w:val="none" w:color="auto"/>
          <w14:textFill>
            <w14:solidFill>
              <w14:schemeClr w14:val="tx1"/>
            </w14:solidFill>
          </w14:textFill>
        </w:rPr>
        <w:t>产业人才住房支持</w:t>
      </w:r>
    </w:p>
    <w:p>
      <w:pPr>
        <w:keepNext w:val="0"/>
        <w:keepLines w:val="0"/>
        <w:pageBreakBefore w:val="0"/>
        <w:widowControl w:val="0"/>
        <w:tabs>
          <w:tab w:val="left" w:pos="420"/>
        </w:tabs>
        <w:kinsoku/>
        <w:wordWrap/>
        <w:overflowPunct w:val="0"/>
        <w:topLinePunct w:val="0"/>
        <w:autoSpaceDE w:val="0"/>
        <w:autoSpaceDN w:val="0"/>
        <w:bidi w:val="0"/>
        <w:adjustRightInd w:val="0"/>
        <w:snapToGrid w:val="0"/>
        <w:spacing w:beforeLines="0" w:afterLines="0" w:line="550" w:lineRule="exact"/>
        <w:ind w:firstLine="640" w:firstLineChars="200"/>
        <w:rPr>
          <w:rFonts w:hint="eastAsia" w:ascii="Times New Roman" w:hAnsi="Times New Roman" w:eastAsia="仿宋_GB2312"/>
          <w:color w:val="000000" w:themeColor="text1"/>
          <w:sz w:val="32"/>
          <w:szCs w:val="24"/>
          <w:highlight w:val="none"/>
          <w:u w:val="none" w:color="auto"/>
          <w14:textFill>
            <w14:solidFill>
              <w14:schemeClr w14:val="tx1"/>
            </w14:solidFill>
          </w14:textFill>
        </w:rPr>
      </w:pPr>
      <w:r>
        <w:rPr>
          <w:rFonts w:hint="eastAsia" w:ascii="Times New Roman" w:hAnsi="Times New Roman" w:eastAsia="仿宋_GB2312"/>
          <w:color w:val="000000" w:themeColor="text1"/>
          <w:sz w:val="32"/>
          <w:szCs w:val="24"/>
          <w:highlight w:val="none"/>
          <w:u w:val="none" w:color="auto"/>
          <w14:textFill>
            <w14:solidFill>
              <w14:schemeClr w14:val="tx1"/>
            </w14:solidFill>
          </w14:textFill>
        </w:rPr>
        <w:t>对符合产业人才住房支持条件的企业（机构）及相关个人，按照综合贡献、人才数量等条件，给予产业人才住房配租或租房</w:t>
      </w:r>
      <w:r>
        <w:rPr>
          <w:rFonts w:hint="eastAsia" w:ascii="Times New Roman" w:hAnsi="Times New Roman" w:eastAsia="仿宋_GB2312"/>
          <w:color w:val="000000" w:themeColor="text1"/>
          <w:sz w:val="32"/>
          <w:szCs w:val="24"/>
          <w:highlight w:val="none"/>
          <w:u w:val="none" w:color="auto"/>
          <w:lang w:eastAsia="zh-CN"/>
          <w14:textFill>
            <w14:solidFill>
              <w14:schemeClr w14:val="tx1"/>
            </w14:solidFill>
          </w14:textFill>
        </w:rPr>
        <w:t>支持</w:t>
      </w:r>
      <w:r>
        <w:rPr>
          <w:rFonts w:hint="eastAsia" w:ascii="Times New Roman" w:hAnsi="Times New Roman" w:eastAsia="仿宋_GB2312"/>
          <w:color w:val="000000" w:themeColor="text1"/>
          <w:sz w:val="32"/>
          <w:szCs w:val="24"/>
          <w:highlight w:val="none"/>
          <w:u w:val="none" w:color="auto"/>
          <w14:textFill>
            <w14:solidFill>
              <w14:schemeClr w14:val="tx1"/>
            </w14:solidFill>
          </w14:textFill>
        </w:rPr>
        <w:t>。具体依据《深圳市福田区产业人才住房管理办法》及其操作细则实施。</w:t>
      </w:r>
    </w:p>
    <w:p>
      <w:pPr>
        <w:keepNext w:val="0"/>
        <w:keepLines w:val="0"/>
        <w:pageBreakBefore w:val="0"/>
        <w:widowControl w:val="0"/>
        <w:numPr>
          <w:ilvl w:val="0"/>
          <w:numId w:val="1"/>
        </w:numPr>
        <w:kinsoku/>
        <w:wordWrap/>
        <w:overflowPunct w:val="0"/>
        <w:topLinePunct w:val="0"/>
        <w:autoSpaceDE w:val="0"/>
        <w:autoSpaceDN w:val="0"/>
        <w:bidi w:val="0"/>
        <w:adjustRightInd w:val="0"/>
        <w:snapToGrid w:val="0"/>
        <w:spacing w:beforeLines="0" w:afterLines="0" w:line="550" w:lineRule="exact"/>
        <w:ind w:firstLine="640" w:firstLineChars="200"/>
        <w:rPr>
          <w:rStyle w:val="5"/>
          <w:rFonts w:hint="eastAsia" w:ascii="Times New Roman" w:hAnsi="Times New Roman" w:eastAsia="黑体"/>
          <w:b w:val="0"/>
          <w:color w:val="000000" w:themeColor="text1"/>
          <w:sz w:val="32"/>
          <w:szCs w:val="24"/>
          <w:highlight w:val="none"/>
          <w:u w:val="none" w:color="auto"/>
          <w14:textFill>
            <w14:solidFill>
              <w14:schemeClr w14:val="tx1"/>
            </w14:solidFill>
          </w14:textFill>
        </w:rPr>
      </w:pPr>
      <w:r>
        <w:rPr>
          <w:rStyle w:val="5"/>
          <w:rFonts w:hint="eastAsia" w:ascii="Times New Roman" w:hAnsi="Times New Roman" w:eastAsia="黑体"/>
          <w:b w:val="0"/>
          <w:color w:val="000000" w:themeColor="text1"/>
          <w:sz w:val="32"/>
          <w:szCs w:val="24"/>
          <w:highlight w:val="none"/>
          <w:u w:val="none" w:color="auto"/>
          <w14:textFill>
            <w14:solidFill>
              <w14:schemeClr w14:val="tx1"/>
            </w14:solidFill>
          </w14:textFill>
        </w:rPr>
        <w:t>产业空间支持</w:t>
      </w:r>
    </w:p>
    <w:p>
      <w:pPr>
        <w:keepNext w:val="0"/>
        <w:keepLines w:val="0"/>
        <w:pageBreakBefore w:val="0"/>
        <w:widowControl w:val="0"/>
        <w:numPr>
          <w:ilvl w:val="0"/>
          <w:numId w:val="2"/>
        </w:numPr>
        <w:tabs>
          <w:tab w:val="left" w:pos="420"/>
        </w:tabs>
        <w:kinsoku/>
        <w:wordWrap/>
        <w:overflowPunct w:val="0"/>
        <w:topLinePunct w:val="0"/>
        <w:autoSpaceDE w:val="0"/>
        <w:autoSpaceDN w:val="0"/>
        <w:bidi w:val="0"/>
        <w:adjustRightInd w:val="0"/>
        <w:snapToGrid w:val="0"/>
        <w:spacing w:beforeLines="0" w:afterLines="0" w:line="550" w:lineRule="exact"/>
        <w:rPr>
          <w:rFonts w:hint="eastAsia" w:ascii="Times New Roman" w:hAnsi="Times New Roman" w:eastAsia="仿宋_GB2312"/>
          <w:color w:val="000000" w:themeColor="text1"/>
          <w:sz w:val="32"/>
          <w:szCs w:val="24"/>
          <w:highlight w:val="none"/>
          <w:u w:val="none" w:color="auto"/>
          <w14:textFill>
            <w14:solidFill>
              <w14:schemeClr w14:val="tx1"/>
            </w14:solidFill>
          </w14:textFill>
        </w:rPr>
      </w:pPr>
      <w:r>
        <w:rPr>
          <w:rFonts w:hint="eastAsia" w:ascii="Times New Roman" w:hAnsi="Times New Roman" w:eastAsia="仿宋_GB2312"/>
          <w:color w:val="000000" w:themeColor="text1"/>
          <w:sz w:val="32"/>
          <w:szCs w:val="24"/>
          <w:highlight w:val="none"/>
          <w:u w:val="none" w:color="auto"/>
          <w14:textFill>
            <w14:solidFill>
              <w14:schemeClr w14:val="tx1"/>
            </w14:solidFill>
          </w14:textFill>
        </w:rPr>
        <w:t>政府产业用房支持。对符合条件的企业（机构），可申请租用福田区政府产业用房，按规定给予相应的租金优惠，最低可按市场评估价的30%予以租赁。</w:t>
      </w:r>
    </w:p>
    <w:p>
      <w:pPr>
        <w:keepNext w:val="0"/>
        <w:keepLines w:val="0"/>
        <w:pageBreakBefore w:val="0"/>
        <w:widowControl w:val="0"/>
        <w:numPr>
          <w:ilvl w:val="0"/>
          <w:numId w:val="2"/>
        </w:numPr>
        <w:tabs>
          <w:tab w:val="left" w:pos="420"/>
        </w:tabs>
        <w:kinsoku/>
        <w:wordWrap/>
        <w:overflowPunct w:val="0"/>
        <w:topLinePunct w:val="0"/>
        <w:autoSpaceDE w:val="0"/>
        <w:autoSpaceDN w:val="0"/>
        <w:bidi w:val="0"/>
        <w:adjustRightInd w:val="0"/>
        <w:snapToGrid w:val="0"/>
        <w:spacing w:beforeLines="0" w:afterLines="0" w:line="550" w:lineRule="exact"/>
        <w:rPr>
          <w:rFonts w:hint="eastAsia" w:ascii="Times New Roman" w:hAnsi="Times New Roman" w:eastAsia="仿宋_GB2312"/>
          <w:color w:val="000000" w:themeColor="text1"/>
          <w:sz w:val="32"/>
          <w:szCs w:val="24"/>
          <w:highlight w:val="none"/>
          <w:u w:val="none" w:color="auto"/>
          <w14:textFill>
            <w14:solidFill>
              <w14:schemeClr w14:val="tx1"/>
            </w14:solidFill>
          </w14:textFill>
        </w:rPr>
      </w:pPr>
      <w:r>
        <w:rPr>
          <w:rFonts w:hint="eastAsia" w:ascii="Times New Roman" w:hAnsi="Times New Roman" w:eastAsia="仿宋_GB2312"/>
          <w:color w:val="000000" w:themeColor="text1"/>
          <w:sz w:val="32"/>
          <w:szCs w:val="24"/>
          <w:highlight w:val="none"/>
          <w:u w:val="none" w:color="auto"/>
          <w14:textFill>
            <w14:solidFill>
              <w14:schemeClr w14:val="tx1"/>
            </w14:solidFill>
          </w14:textFill>
        </w:rPr>
        <w:t>工业设计专业楼宇（园区）支持。鼓励福田区社会物业的运营主体积极引进和集聚工业设计企业（机构），打造专业楼宇（园区），营造良好的集聚发展环境。对社会力量投资建设的工业设计专业楼宇（园区），经区政府同意并经专项审计，按照实际投资额的50%，一次性给予最高300万元的园区建设支持。对达到认定标准的，给予运营主体最高30万元一次性认定支持；认定后，根据其进驻企业</w:t>
      </w:r>
      <w:r>
        <w:rPr>
          <w:rFonts w:hint="eastAsia" w:ascii="Times New Roman" w:hAnsi="Times New Roman" w:eastAsia="仿宋_GB2312"/>
          <w:color w:val="000000" w:themeColor="text1"/>
          <w:sz w:val="32"/>
          <w:szCs w:val="24"/>
          <w:highlight w:val="none"/>
          <w:u w:val="none" w:color="auto"/>
          <w:lang w:eastAsia="zh-CN"/>
          <w14:textFill>
            <w14:solidFill>
              <w14:schemeClr w14:val="tx1"/>
            </w14:solidFill>
          </w14:textFill>
        </w:rPr>
        <w:t>经营</w:t>
      </w:r>
      <w:r>
        <w:rPr>
          <w:rFonts w:hint="eastAsia" w:ascii="Times New Roman" w:hAnsi="Times New Roman" w:eastAsia="仿宋_GB2312"/>
          <w:color w:val="000000" w:themeColor="text1"/>
          <w:sz w:val="32"/>
          <w:szCs w:val="24"/>
          <w:highlight w:val="none"/>
          <w:u w:val="none" w:color="auto"/>
          <w14:textFill>
            <w14:solidFill>
              <w14:schemeClr w14:val="tx1"/>
            </w14:solidFill>
          </w14:textFill>
        </w:rPr>
        <w:t>情况，予以最高300万元运营支持；对入驻的企业（机构）依条件给予每年最高30万元租金支持。</w:t>
      </w:r>
    </w:p>
    <w:p>
      <w:pPr>
        <w:keepNext w:val="0"/>
        <w:keepLines w:val="0"/>
        <w:pageBreakBefore w:val="0"/>
        <w:widowControl w:val="0"/>
        <w:numPr>
          <w:ilvl w:val="0"/>
          <w:numId w:val="2"/>
        </w:numPr>
        <w:tabs>
          <w:tab w:val="left" w:pos="420"/>
        </w:tabs>
        <w:kinsoku/>
        <w:wordWrap/>
        <w:overflowPunct w:val="0"/>
        <w:topLinePunct w:val="0"/>
        <w:autoSpaceDE w:val="0"/>
        <w:autoSpaceDN w:val="0"/>
        <w:bidi w:val="0"/>
        <w:adjustRightInd w:val="0"/>
        <w:snapToGrid w:val="0"/>
        <w:spacing w:beforeLines="0" w:afterLines="0" w:line="550" w:lineRule="exact"/>
        <w:rPr>
          <w:rFonts w:hint="eastAsia" w:ascii="Times New Roman" w:hAnsi="Times New Roman" w:eastAsia="仿宋_GB2312"/>
          <w:color w:val="000000" w:themeColor="text1"/>
          <w:sz w:val="32"/>
          <w:szCs w:val="24"/>
          <w:highlight w:val="none"/>
          <w:u w:val="none" w:color="auto"/>
          <w14:textFill>
            <w14:solidFill>
              <w14:schemeClr w14:val="tx1"/>
            </w14:solidFill>
          </w14:textFill>
        </w:rPr>
      </w:pPr>
      <w:r>
        <w:rPr>
          <w:rFonts w:hint="eastAsia" w:ascii="Times New Roman" w:hAnsi="Times New Roman" w:eastAsia="仿宋_GB2312"/>
          <w:color w:val="000000" w:themeColor="text1"/>
          <w:sz w:val="32"/>
          <w:szCs w:val="24"/>
          <w:highlight w:val="none"/>
          <w:u w:val="none" w:color="auto"/>
          <w14:textFill>
            <w14:solidFill>
              <w14:schemeClr w14:val="tx1"/>
            </w14:solidFill>
          </w14:textFill>
        </w:rPr>
        <w:t>社会产业空间租金支持。对新引进的符合福田区重点发展方向的企业，在福田区租赁社会物业作为自用办公用房（不含附属和配套用房）的，</w:t>
      </w:r>
      <w:r>
        <w:rPr>
          <w:rFonts w:hint="eastAsia" w:ascii="Times New Roman" w:hAnsi="Times New Roman" w:eastAsia="仿宋_GB2312"/>
          <w:color w:val="000000" w:themeColor="text1"/>
          <w:sz w:val="32"/>
          <w:szCs w:val="24"/>
          <w:highlight w:val="none"/>
          <w:u w:val="none" w:color="auto"/>
          <w:lang w:eastAsia="zh-CN"/>
          <w14:textFill>
            <w14:solidFill>
              <w14:schemeClr w14:val="tx1"/>
            </w14:solidFill>
          </w14:textFill>
        </w:rPr>
        <w:t>根据企业</w:t>
      </w:r>
      <w:r>
        <w:rPr>
          <w:rFonts w:hint="eastAsia" w:ascii="Times New Roman" w:hAnsi="Times New Roman" w:eastAsia="仿宋_GB2312"/>
          <w:color w:val="000000" w:themeColor="text1"/>
          <w:sz w:val="32"/>
          <w:szCs w:val="24"/>
          <w:highlight w:val="none"/>
          <w:u w:val="none" w:color="auto"/>
          <w:lang w:val="en-US" w:eastAsia="zh-CN"/>
          <w14:textFill>
            <w14:solidFill>
              <w14:schemeClr w14:val="tx1"/>
            </w14:solidFill>
          </w14:textFill>
        </w:rPr>
        <w:t>经营情况，</w:t>
      </w:r>
      <w:r>
        <w:rPr>
          <w:rFonts w:hint="eastAsia" w:ascii="Times New Roman" w:hAnsi="Times New Roman" w:eastAsia="仿宋_GB2312"/>
          <w:color w:val="000000" w:themeColor="text1"/>
          <w:sz w:val="32"/>
          <w:szCs w:val="24"/>
          <w:highlight w:val="none"/>
          <w:u w:val="none" w:color="auto"/>
          <w14:textFill>
            <w14:solidFill>
              <w14:schemeClr w14:val="tx1"/>
            </w14:solidFill>
          </w14:textFill>
        </w:rPr>
        <w:t xml:space="preserve">最高可按企业办公用房实际租金额的50%，给予最高1000万元的租金支持，支持不超过三年。  </w:t>
      </w:r>
    </w:p>
    <w:p>
      <w:pPr>
        <w:keepNext w:val="0"/>
        <w:keepLines w:val="0"/>
        <w:pageBreakBefore w:val="0"/>
        <w:widowControl w:val="0"/>
        <w:numPr>
          <w:ilvl w:val="0"/>
          <w:numId w:val="2"/>
        </w:numPr>
        <w:tabs>
          <w:tab w:val="left" w:pos="420"/>
        </w:tabs>
        <w:kinsoku/>
        <w:wordWrap/>
        <w:overflowPunct w:val="0"/>
        <w:topLinePunct w:val="0"/>
        <w:autoSpaceDE w:val="0"/>
        <w:autoSpaceDN w:val="0"/>
        <w:bidi w:val="0"/>
        <w:adjustRightInd w:val="0"/>
        <w:snapToGrid w:val="0"/>
        <w:spacing w:beforeLines="0" w:afterLines="0" w:line="550" w:lineRule="exact"/>
        <w:rPr>
          <w:rFonts w:hint="eastAsia" w:ascii="Times New Roman" w:hAnsi="Times New Roman" w:eastAsia="仿宋_GB2312"/>
          <w:color w:val="000000" w:themeColor="text1"/>
          <w:sz w:val="32"/>
          <w:szCs w:val="24"/>
          <w:highlight w:val="none"/>
          <w:u w:val="none" w:color="auto"/>
          <w14:textFill>
            <w14:solidFill>
              <w14:schemeClr w14:val="tx1"/>
            </w14:solidFill>
          </w14:textFill>
        </w:rPr>
      </w:pPr>
      <w:r>
        <w:rPr>
          <w:rFonts w:hint="eastAsia" w:ascii="Times New Roman" w:hAnsi="Times New Roman" w:eastAsia="仿宋_GB2312"/>
          <w:color w:val="000000" w:themeColor="text1"/>
          <w:sz w:val="32"/>
          <w:szCs w:val="24"/>
          <w:highlight w:val="none"/>
          <w:u w:val="none" w:color="auto"/>
          <w14:textFill>
            <w14:solidFill>
              <w14:schemeClr w14:val="tx1"/>
            </w14:solidFill>
          </w14:textFill>
        </w:rPr>
        <w:t>工业厂房租金支持。对福田区规模以上工业企业租赁自用厂房并开展研发或生产制造的，按照</w:t>
      </w:r>
      <w:r>
        <w:rPr>
          <w:rFonts w:hint="eastAsia" w:ascii="Times New Roman" w:hAnsi="Times New Roman" w:eastAsia="仿宋_GB2312"/>
          <w:color w:val="000000" w:themeColor="text1"/>
          <w:sz w:val="32"/>
          <w:szCs w:val="24"/>
          <w:highlight w:val="none"/>
          <w:u w:val="none" w:color="auto"/>
          <w:lang w:eastAsia="zh-CN"/>
          <w14:textFill>
            <w14:solidFill>
              <w14:schemeClr w14:val="tx1"/>
            </w14:solidFill>
          </w14:textFill>
        </w:rPr>
        <w:t>企业</w:t>
      </w:r>
      <w:r>
        <w:rPr>
          <w:rFonts w:hint="eastAsia" w:ascii="Times New Roman" w:hAnsi="Times New Roman" w:eastAsia="仿宋_GB2312"/>
          <w:color w:val="000000" w:themeColor="text1"/>
          <w:sz w:val="32"/>
          <w:szCs w:val="24"/>
          <w:highlight w:val="none"/>
          <w:u w:val="none" w:color="auto"/>
          <w:lang w:val="en-US" w:eastAsia="zh-CN"/>
          <w14:textFill>
            <w14:solidFill>
              <w14:schemeClr w14:val="tx1"/>
            </w14:solidFill>
          </w14:textFill>
        </w:rPr>
        <w:t>经营情况</w:t>
      </w:r>
      <w:r>
        <w:rPr>
          <w:rFonts w:hint="eastAsia" w:ascii="Times New Roman" w:hAnsi="Times New Roman" w:eastAsia="仿宋_GB2312"/>
          <w:color w:val="000000" w:themeColor="text1"/>
          <w:sz w:val="32"/>
          <w:szCs w:val="24"/>
          <w:highlight w:val="none"/>
          <w:u w:val="none" w:color="auto"/>
          <w14:textFill>
            <w14:solidFill>
              <w14:schemeClr w14:val="tx1"/>
            </w14:solidFill>
          </w14:textFill>
        </w:rPr>
        <w:t>，给予年度实际租金金额的50%，每年最高100万元的租金支持。</w:t>
      </w:r>
    </w:p>
    <w:p>
      <w:pPr>
        <w:keepNext w:val="0"/>
        <w:keepLines w:val="0"/>
        <w:pageBreakBefore w:val="0"/>
        <w:widowControl w:val="0"/>
        <w:numPr>
          <w:ilvl w:val="0"/>
          <w:numId w:val="2"/>
        </w:numPr>
        <w:tabs>
          <w:tab w:val="left" w:pos="420"/>
        </w:tabs>
        <w:kinsoku/>
        <w:wordWrap/>
        <w:overflowPunct w:val="0"/>
        <w:topLinePunct w:val="0"/>
        <w:autoSpaceDE w:val="0"/>
        <w:autoSpaceDN w:val="0"/>
        <w:bidi w:val="0"/>
        <w:adjustRightInd w:val="0"/>
        <w:snapToGrid w:val="0"/>
        <w:spacing w:beforeLines="0" w:afterLines="0" w:line="550" w:lineRule="exact"/>
        <w:rPr>
          <w:rFonts w:hint="eastAsia" w:ascii="Times New Roman" w:hAnsi="Times New Roman" w:eastAsia="仿宋_GB2312"/>
          <w:color w:val="000000" w:themeColor="text1"/>
          <w:sz w:val="32"/>
          <w:szCs w:val="24"/>
          <w:highlight w:val="none"/>
          <w:u w:val="none" w:color="auto"/>
          <w14:textFill>
            <w14:solidFill>
              <w14:schemeClr w14:val="tx1"/>
            </w14:solidFill>
          </w14:textFill>
        </w:rPr>
      </w:pPr>
      <w:r>
        <w:rPr>
          <w:rFonts w:hint="eastAsia" w:ascii="Times New Roman" w:hAnsi="Times New Roman" w:eastAsia="仿宋_GB2312"/>
          <w:color w:val="000000" w:themeColor="text1"/>
          <w:sz w:val="32"/>
          <w:szCs w:val="24"/>
          <w:highlight w:val="none"/>
          <w:u w:val="none" w:color="auto"/>
          <w14:textFill>
            <w14:solidFill>
              <w14:schemeClr w14:val="tx1"/>
            </w14:solidFill>
          </w14:textFill>
        </w:rPr>
        <w:t>智能制造工厂示范项目租金支持。对在福田八卦岭等重点片区租赁厂房用于建设智能制造工厂示范项目的，经事先备案和评估，最高可按实际租金金额的60%给予租金支持，每年最高支持1000万元。</w:t>
      </w:r>
    </w:p>
    <w:p>
      <w:pPr>
        <w:keepNext w:val="0"/>
        <w:keepLines w:val="0"/>
        <w:pageBreakBefore w:val="0"/>
        <w:widowControl w:val="0"/>
        <w:numPr>
          <w:ilvl w:val="0"/>
          <w:numId w:val="0"/>
        </w:numPr>
        <w:tabs>
          <w:tab w:val="left" w:pos="420"/>
        </w:tabs>
        <w:kinsoku/>
        <w:wordWrap/>
        <w:overflowPunct w:val="0"/>
        <w:topLinePunct w:val="0"/>
        <w:autoSpaceDE w:val="0"/>
        <w:autoSpaceDN w:val="0"/>
        <w:bidi w:val="0"/>
        <w:adjustRightInd w:val="0"/>
        <w:snapToGrid w:val="0"/>
        <w:spacing w:beforeLines="0" w:afterLines="0" w:line="550" w:lineRule="exact"/>
        <w:ind w:firstLine="640" w:firstLineChars="200"/>
        <w:rPr>
          <w:rFonts w:hint="eastAsia" w:ascii="Times New Roman" w:hAnsi="Times New Roman" w:eastAsia="仿宋_GB2312"/>
          <w:color w:val="000000" w:themeColor="text1"/>
          <w:sz w:val="32"/>
          <w:szCs w:val="24"/>
          <w:highlight w:val="none"/>
          <w:u w:val="none" w:color="auto"/>
          <w14:textFill>
            <w14:solidFill>
              <w14:schemeClr w14:val="tx1"/>
            </w14:solidFill>
          </w14:textFill>
        </w:rPr>
      </w:pPr>
      <w:r>
        <w:rPr>
          <w:rFonts w:hint="eastAsia" w:ascii="Times New Roman" w:hAnsi="Times New Roman" w:eastAsia="仿宋_GB2312"/>
          <w:color w:val="000000" w:themeColor="text1"/>
          <w:sz w:val="32"/>
          <w:szCs w:val="24"/>
          <w:highlight w:val="none"/>
          <w:u w:val="none" w:color="auto"/>
          <w14:textFill>
            <w14:solidFill>
              <w14:schemeClr w14:val="tx1"/>
            </w14:solidFill>
          </w14:textFill>
        </w:rPr>
        <w:t>注：获得产业空间支持期间不得转租，违反本规定的，应返还已拨付的产业资金并承担相应违约责任。“工业厂房租金支持”与“智能制造工厂示范项目租金支持”同一年度内不可同时享受。</w:t>
      </w:r>
    </w:p>
    <w:p>
      <w:pPr>
        <w:keepNext w:val="0"/>
        <w:keepLines w:val="0"/>
        <w:pageBreakBefore w:val="0"/>
        <w:widowControl w:val="0"/>
        <w:numPr>
          <w:ilvl w:val="0"/>
          <w:numId w:val="1"/>
        </w:numPr>
        <w:kinsoku/>
        <w:wordWrap/>
        <w:overflowPunct w:val="0"/>
        <w:topLinePunct w:val="0"/>
        <w:autoSpaceDE w:val="0"/>
        <w:autoSpaceDN w:val="0"/>
        <w:bidi w:val="0"/>
        <w:adjustRightInd w:val="0"/>
        <w:snapToGrid w:val="0"/>
        <w:spacing w:beforeLines="0" w:afterLines="0" w:line="550" w:lineRule="exact"/>
        <w:ind w:firstLine="640" w:firstLineChars="200"/>
        <w:rPr>
          <w:rStyle w:val="5"/>
          <w:rFonts w:hint="eastAsia" w:ascii="Times New Roman" w:hAnsi="Times New Roman" w:eastAsia="黑体"/>
          <w:b w:val="0"/>
          <w:color w:val="000000" w:themeColor="text1"/>
          <w:sz w:val="32"/>
          <w:szCs w:val="24"/>
          <w:highlight w:val="none"/>
          <w:u w:val="none" w:color="auto"/>
          <w14:textFill>
            <w14:solidFill>
              <w14:schemeClr w14:val="tx1"/>
            </w14:solidFill>
          </w14:textFill>
        </w:rPr>
      </w:pPr>
      <w:r>
        <w:rPr>
          <w:rStyle w:val="5"/>
          <w:rFonts w:hint="eastAsia" w:ascii="Times New Roman" w:hAnsi="Times New Roman" w:eastAsia="黑体"/>
          <w:b w:val="0"/>
          <w:color w:val="000000" w:themeColor="text1"/>
          <w:sz w:val="32"/>
          <w:szCs w:val="24"/>
          <w:highlight w:val="none"/>
          <w:u w:val="none" w:color="auto"/>
          <w14:textFill>
            <w14:solidFill>
              <w14:schemeClr w14:val="tx1"/>
            </w14:solidFill>
          </w14:textFill>
        </w:rPr>
        <w:t>贷款贴息支持</w:t>
      </w:r>
    </w:p>
    <w:p>
      <w:pPr>
        <w:keepNext w:val="0"/>
        <w:keepLines w:val="0"/>
        <w:pageBreakBefore w:val="0"/>
        <w:widowControl w:val="0"/>
        <w:kinsoku/>
        <w:wordWrap/>
        <w:overflowPunct w:val="0"/>
        <w:topLinePunct w:val="0"/>
        <w:autoSpaceDE w:val="0"/>
        <w:autoSpaceDN w:val="0"/>
        <w:bidi w:val="0"/>
        <w:adjustRightInd w:val="0"/>
        <w:snapToGrid w:val="0"/>
        <w:spacing w:beforeLines="0" w:afterLines="0" w:line="550" w:lineRule="exact"/>
        <w:ind w:firstLine="640" w:firstLineChars="200"/>
        <w:rPr>
          <w:rFonts w:hint="eastAsia" w:ascii="Times New Roman" w:hAnsi="Times New Roman" w:eastAsia="仿宋_GB2312"/>
          <w:color w:val="000000" w:themeColor="text1"/>
          <w:sz w:val="32"/>
          <w:szCs w:val="24"/>
          <w:highlight w:val="none"/>
          <w:u w:val="none" w:color="auto"/>
          <w14:textFill>
            <w14:solidFill>
              <w14:schemeClr w14:val="tx1"/>
            </w14:solidFill>
          </w14:textFill>
        </w:rPr>
      </w:pPr>
      <w:r>
        <w:rPr>
          <w:rFonts w:hint="eastAsia" w:ascii="Times New Roman" w:hAnsi="Times New Roman" w:eastAsia="仿宋_GB2312"/>
          <w:color w:val="000000" w:themeColor="text1"/>
          <w:sz w:val="32"/>
          <w:szCs w:val="24"/>
          <w:highlight w:val="none"/>
          <w:u w:val="none" w:color="auto"/>
          <w14:textFill>
            <w14:solidFill>
              <w14:schemeClr w14:val="tx1"/>
            </w14:solidFill>
          </w14:textFill>
        </w:rPr>
        <w:t>对</w:t>
      </w:r>
      <w:r>
        <w:rPr>
          <w:rFonts w:hint="eastAsia" w:ascii="Times New Roman" w:hAnsi="Times New Roman" w:eastAsia="仿宋_GB2312"/>
          <w:color w:val="000000" w:themeColor="text1"/>
          <w:sz w:val="32"/>
          <w:szCs w:val="24"/>
          <w:highlight w:val="none"/>
          <w:u w:val="none" w:color="auto"/>
          <w:lang w:eastAsia="zh-CN"/>
          <w14:textFill>
            <w14:solidFill>
              <w14:schemeClr w14:val="tx1"/>
            </w14:solidFill>
          </w14:textFill>
        </w:rPr>
        <w:t>符合条件的工业企业</w:t>
      </w:r>
      <w:r>
        <w:rPr>
          <w:rFonts w:hint="eastAsia" w:ascii="Times New Roman" w:hAnsi="Times New Roman" w:eastAsia="仿宋_GB2312"/>
          <w:color w:val="000000" w:themeColor="text1"/>
          <w:sz w:val="32"/>
          <w:szCs w:val="24"/>
          <w:highlight w:val="none"/>
          <w:u w:val="none" w:color="auto"/>
          <w14:textFill>
            <w14:solidFill>
              <w14:schemeClr w14:val="tx1"/>
            </w14:solidFill>
          </w14:textFill>
        </w:rPr>
        <w:t>，在深圳市任一银行贷款或获得深圳市民营企业平稳发展基金提供的委托贷款，可按其当年度1月1日至当年度12月31日之间、最长连续12个月实际支付的利息，给予最高30%、最高150万元的贴息支持。</w:t>
      </w:r>
    </w:p>
    <w:p>
      <w:pPr>
        <w:keepNext w:val="0"/>
        <w:keepLines w:val="0"/>
        <w:pageBreakBefore w:val="0"/>
        <w:widowControl w:val="0"/>
        <w:numPr>
          <w:ilvl w:val="0"/>
          <w:numId w:val="1"/>
        </w:numPr>
        <w:kinsoku/>
        <w:wordWrap/>
        <w:overflowPunct w:val="0"/>
        <w:topLinePunct w:val="0"/>
        <w:autoSpaceDE w:val="0"/>
        <w:autoSpaceDN w:val="0"/>
        <w:bidi w:val="0"/>
        <w:adjustRightInd w:val="0"/>
        <w:snapToGrid w:val="0"/>
        <w:spacing w:beforeLines="0" w:afterLines="0" w:line="550" w:lineRule="exact"/>
        <w:ind w:firstLine="640" w:firstLineChars="200"/>
        <w:rPr>
          <w:rStyle w:val="5"/>
          <w:rFonts w:hint="eastAsia" w:ascii="Times New Roman" w:hAnsi="Times New Roman" w:eastAsia="黑体"/>
          <w:b w:val="0"/>
          <w:color w:val="000000" w:themeColor="text1"/>
          <w:sz w:val="32"/>
          <w:szCs w:val="24"/>
          <w:highlight w:val="none"/>
          <w:u w:val="none" w:color="auto"/>
          <w14:textFill>
            <w14:solidFill>
              <w14:schemeClr w14:val="tx1"/>
            </w14:solidFill>
          </w14:textFill>
        </w:rPr>
      </w:pPr>
      <w:r>
        <w:rPr>
          <w:rStyle w:val="5"/>
          <w:rFonts w:hint="eastAsia" w:ascii="Times New Roman" w:hAnsi="Times New Roman" w:eastAsia="黑体"/>
          <w:b w:val="0"/>
          <w:color w:val="000000" w:themeColor="text1"/>
          <w:sz w:val="32"/>
          <w:szCs w:val="24"/>
          <w:highlight w:val="none"/>
          <w:u w:val="none" w:color="auto"/>
          <w14:textFill>
            <w14:solidFill>
              <w14:schemeClr w14:val="tx1"/>
            </w14:solidFill>
          </w14:textFill>
        </w:rPr>
        <w:t>稳增长支持</w:t>
      </w:r>
    </w:p>
    <w:p>
      <w:pPr>
        <w:keepNext w:val="0"/>
        <w:keepLines w:val="0"/>
        <w:pageBreakBefore w:val="0"/>
        <w:widowControl w:val="0"/>
        <w:kinsoku/>
        <w:wordWrap/>
        <w:overflowPunct w:val="0"/>
        <w:topLinePunct w:val="0"/>
        <w:autoSpaceDE w:val="0"/>
        <w:autoSpaceDN w:val="0"/>
        <w:bidi w:val="0"/>
        <w:adjustRightInd w:val="0"/>
        <w:snapToGrid w:val="0"/>
        <w:spacing w:beforeLines="0" w:afterLines="0" w:line="550" w:lineRule="exact"/>
        <w:ind w:firstLine="640" w:firstLineChars="200"/>
        <w:textAlignment w:val="center"/>
        <w:rPr>
          <w:rFonts w:hint="eastAsia" w:ascii="Times New Roman" w:hAnsi="Times New Roman" w:eastAsia="仿宋_GB2312"/>
          <w:color w:val="000000" w:themeColor="text1"/>
          <w:sz w:val="32"/>
          <w:szCs w:val="24"/>
          <w:highlight w:val="none"/>
          <w:u w:val="none" w:color="auto"/>
          <w14:textFill>
            <w14:solidFill>
              <w14:schemeClr w14:val="tx1"/>
            </w14:solidFill>
          </w14:textFill>
        </w:rPr>
      </w:pPr>
      <w:r>
        <w:rPr>
          <w:rFonts w:hint="eastAsia" w:ascii="Times New Roman" w:hAnsi="Times New Roman" w:eastAsia="仿宋_GB2312"/>
          <w:color w:val="000000" w:themeColor="text1"/>
          <w:sz w:val="32"/>
          <w:szCs w:val="24"/>
          <w:highlight w:val="none"/>
          <w:u w:val="none" w:color="auto"/>
          <w14:textFill>
            <w14:solidFill>
              <w14:schemeClr w14:val="tx1"/>
            </w14:solidFill>
          </w14:textFill>
        </w:rPr>
        <w:t>（一）新增入库支持。对首次纳入福田区工业统计的企业，根据其</w:t>
      </w:r>
      <w:r>
        <w:rPr>
          <w:rFonts w:hint="eastAsia" w:ascii="Times New Roman" w:hAnsi="Times New Roman" w:eastAsia="仿宋_GB2312"/>
          <w:color w:val="000000" w:themeColor="text1"/>
          <w:sz w:val="32"/>
          <w:szCs w:val="24"/>
          <w:highlight w:val="none"/>
          <w:u w:val="none" w:color="auto"/>
          <w:lang w:eastAsia="zh-CN"/>
          <w14:textFill>
            <w14:solidFill>
              <w14:schemeClr w14:val="tx1"/>
            </w14:solidFill>
          </w14:textFill>
        </w:rPr>
        <w:t>经营情况</w:t>
      </w:r>
      <w:r>
        <w:rPr>
          <w:rFonts w:hint="eastAsia" w:ascii="Times New Roman" w:hAnsi="Times New Roman" w:eastAsia="仿宋_GB2312"/>
          <w:color w:val="000000" w:themeColor="text1"/>
          <w:sz w:val="32"/>
          <w:szCs w:val="24"/>
          <w:highlight w:val="none"/>
          <w:u w:val="none" w:color="auto"/>
          <w14:textFill>
            <w14:solidFill>
              <w14:schemeClr w14:val="tx1"/>
            </w14:solidFill>
          </w14:textFill>
        </w:rPr>
        <w:t>，给予最高30万元的一次性支持。</w:t>
      </w:r>
    </w:p>
    <w:p>
      <w:pPr>
        <w:keepNext w:val="0"/>
        <w:keepLines w:val="0"/>
        <w:pageBreakBefore w:val="0"/>
        <w:widowControl w:val="0"/>
        <w:kinsoku/>
        <w:wordWrap/>
        <w:overflowPunct w:val="0"/>
        <w:topLinePunct w:val="0"/>
        <w:autoSpaceDE w:val="0"/>
        <w:autoSpaceDN w:val="0"/>
        <w:bidi w:val="0"/>
        <w:adjustRightInd w:val="0"/>
        <w:snapToGrid w:val="0"/>
        <w:spacing w:beforeLines="0" w:afterLines="0" w:line="550" w:lineRule="exact"/>
        <w:ind w:firstLine="640" w:firstLineChars="200"/>
        <w:textAlignment w:val="center"/>
        <w:rPr>
          <w:rFonts w:hint="eastAsia" w:ascii="Times New Roman" w:hAnsi="Times New Roman" w:eastAsia="仿宋_GB2312"/>
          <w:color w:val="000000" w:themeColor="text1"/>
          <w:sz w:val="32"/>
          <w:szCs w:val="24"/>
          <w:highlight w:val="none"/>
          <w:u w:val="none" w:color="auto"/>
          <w14:textFill>
            <w14:solidFill>
              <w14:schemeClr w14:val="tx1"/>
            </w14:solidFill>
          </w14:textFill>
        </w:rPr>
      </w:pPr>
      <w:r>
        <w:rPr>
          <w:rFonts w:hint="eastAsia" w:ascii="Times New Roman" w:hAnsi="Times New Roman" w:eastAsia="仿宋_GB2312"/>
          <w:color w:val="000000" w:themeColor="text1"/>
          <w:sz w:val="32"/>
          <w:szCs w:val="24"/>
          <w:highlight w:val="none"/>
          <w:u w:val="none" w:color="auto"/>
          <w14:textFill>
            <w14:solidFill>
              <w14:schemeClr w14:val="tx1"/>
            </w14:solidFill>
          </w14:textFill>
        </w:rPr>
        <w:t>（二）规上工业经营支持。对纳入福田区工业统计的规模以上工业企业，</w:t>
      </w:r>
      <w:r>
        <w:rPr>
          <w:rFonts w:hint="eastAsia" w:ascii="Times New Roman" w:hAnsi="Times New Roman" w:eastAsia="仿宋_GB2312"/>
          <w:color w:val="000000" w:themeColor="text1"/>
          <w:sz w:val="32"/>
          <w:szCs w:val="24"/>
          <w:highlight w:val="none"/>
          <w:u w:val="none" w:color="auto"/>
          <w:lang w:eastAsia="zh-CN"/>
          <w14:textFill>
            <w14:solidFill>
              <w14:schemeClr w14:val="tx1"/>
            </w14:solidFill>
          </w14:textFill>
        </w:rPr>
        <w:t>根据企业经营情况</w:t>
      </w:r>
      <w:r>
        <w:rPr>
          <w:rFonts w:hint="eastAsia" w:ascii="Times New Roman" w:hAnsi="Times New Roman" w:eastAsia="仿宋_GB2312"/>
          <w:color w:val="000000" w:themeColor="text1"/>
          <w:sz w:val="32"/>
          <w:szCs w:val="24"/>
          <w:highlight w:val="none"/>
          <w:u w:val="none" w:color="auto"/>
          <w14:textFill>
            <w14:solidFill>
              <w14:schemeClr w14:val="tx1"/>
            </w14:solidFill>
          </w14:textFill>
        </w:rPr>
        <w:t>，</w:t>
      </w:r>
      <w:r>
        <w:rPr>
          <w:rFonts w:hint="eastAsia" w:ascii="Times New Roman" w:hAnsi="Times New Roman" w:eastAsia="仿宋_GB2312"/>
          <w:color w:val="000000" w:themeColor="text1"/>
          <w:sz w:val="32"/>
          <w:szCs w:val="24"/>
          <w:highlight w:val="none"/>
          <w:u w:val="none" w:color="auto"/>
          <w:lang w:eastAsia="zh-CN"/>
          <w14:textFill>
            <w14:solidFill>
              <w14:schemeClr w14:val="tx1"/>
            </w14:solidFill>
          </w14:textFill>
        </w:rPr>
        <w:t>每</w:t>
      </w:r>
      <w:r>
        <w:rPr>
          <w:rFonts w:hint="eastAsia" w:ascii="Times New Roman" w:hAnsi="Times New Roman" w:eastAsia="仿宋_GB2312"/>
          <w:color w:val="000000" w:themeColor="text1"/>
          <w:sz w:val="32"/>
          <w:szCs w:val="24"/>
          <w:highlight w:val="none"/>
          <w:u w:val="none" w:color="auto"/>
          <w14:textFill>
            <w14:solidFill>
              <w14:schemeClr w14:val="tx1"/>
            </w14:solidFill>
          </w14:textFill>
        </w:rPr>
        <w:t>半年度分档</w:t>
      </w:r>
      <w:r>
        <w:rPr>
          <w:rFonts w:hint="eastAsia" w:ascii="Times New Roman" w:hAnsi="Times New Roman" w:eastAsia="仿宋_GB2312"/>
          <w:color w:val="000000" w:themeColor="text1"/>
          <w:sz w:val="32"/>
          <w:szCs w:val="24"/>
          <w:highlight w:val="none"/>
          <w:u w:val="none" w:color="auto"/>
          <w:lang w:eastAsia="zh-CN"/>
          <w14:textFill>
            <w14:solidFill>
              <w14:schemeClr w14:val="tx1"/>
            </w14:solidFill>
          </w14:textFill>
        </w:rPr>
        <w:t>给予</w:t>
      </w:r>
      <w:r>
        <w:rPr>
          <w:rFonts w:hint="eastAsia" w:ascii="Times New Roman" w:hAnsi="Times New Roman" w:eastAsia="仿宋_GB2312"/>
          <w:color w:val="000000" w:themeColor="text1"/>
          <w:sz w:val="32"/>
          <w:szCs w:val="24"/>
          <w:highlight w:val="none"/>
          <w:u w:val="none" w:color="auto"/>
          <w14:textFill>
            <w14:solidFill>
              <w14:schemeClr w14:val="tx1"/>
            </w14:solidFill>
          </w14:textFill>
        </w:rPr>
        <w:t>最高1000万元的支持，年度最高支持2000万元。</w:t>
      </w:r>
    </w:p>
    <w:p>
      <w:pPr>
        <w:keepNext w:val="0"/>
        <w:keepLines w:val="0"/>
        <w:pageBreakBefore w:val="0"/>
        <w:widowControl w:val="0"/>
        <w:kinsoku/>
        <w:wordWrap/>
        <w:overflowPunct w:val="0"/>
        <w:topLinePunct w:val="0"/>
        <w:autoSpaceDE w:val="0"/>
        <w:autoSpaceDN w:val="0"/>
        <w:bidi w:val="0"/>
        <w:adjustRightInd w:val="0"/>
        <w:snapToGrid w:val="0"/>
        <w:spacing w:beforeLines="0" w:afterLines="0" w:line="550" w:lineRule="exact"/>
        <w:ind w:firstLine="640" w:firstLineChars="200"/>
        <w:textAlignment w:val="center"/>
        <w:rPr>
          <w:rFonts w:hint="eastAsia" w:ascii="Times New Roman" w:hAnsi="Times New Roman" w:eastAsia="仿宋_GB2312"/>
          <w:color w:val="000000" w:themeColor="text1"/>
          <w:sz w:val="32"/>
          <w:szCs w:val="24"/>
          <w:highlight w:val="none"/>
          <w:u w:val="none" w:color="auto"/>
          <w14:textFill>
            <w14:solidFill>
              <w14:schemeClr w14:val="tx1"/>
            </w14:solidFill>
          </w14:textFill>
        </w:rPr>
      </w:pPr>
      <w:r>
        <w:rPr>
          <w:rFonts w:hint="eastAsia" w:ascii="Times New Roman" w:hAnsi="Times New Roman" w:eastAsia="仿宋_GB2312"/>
          <w:color w:val="000000" w:themeColor="text1"/>
          <w:sz w:val="32"/>
          <w:szCs w:val="24"/>
          <w:highlight w:val="none"/>
          <w:u w:val="none" w:color="auto"/>
          <w14:textFill>
            <w14:solidFill>
              <w14:schemeClr w14:val="tx1"/>
            </w14:solidFill>
          </w14:textFill>
        </w:rPr>
        <w:t>（三）规下工业经营支持。对福田区工业统计的规模以下工业企业，</w:t>
      </w:r>
      <w:r>
        <w:rPr>
          <w:rFonts w:hint="eastAsia" w:ascii="Times New Roman" w:hAnsi="Times New Roman" w:eastAsia="仿宋_GB2312"/>
          <w:color w:val="000000" w:themeColor="text1"/>
          <w:sz w:val="32"/>
          <w:szCs w:val="24"/>
          <w:highlight w:val="none"/>
          <w:u w:val="none" w:color="auto"/>
          <w:lang w:eastAsia="zh-CN"/>
          <w14:textFill>
            <w14:solidFill>
              <w14:schemeClr w14:val="tx1"/>
            </w14:solidFill>
          </w14:textFill>
        </w:rPr>
        <w:t>根据企业经营情况</w:t>
      </w:r>
      <w:r>
        <w:rPr>
          <w:rFonts w:hint="eastAsia" w:ascii="Times New Roman" w:hAnsi="Times New Roman" w:eastAsia="仿宋_GB2312"/>
          <w:color w:val="000000" w:themeColor="text1"/>
          <w:sz w:val="32"/>
          <w:szCs w:val="24"/>
          <w:highlight w:val="none"/>
          <w:u w:val="none" w:color="auto"/>
          <w14:textFill>
            <w14:solidFill>
              <w14:schemeClr w14:val="tx1"/>
            </w14:solidFill>
          </w14:textFill>
        </w:rPr>
        <w:t>，给予最高20万元支持。</w:t>
      </w:r>
    </w:p>
    <w:p>
      <w:pPr>
        <w:keepNext w:val="0"/>
        <w:keepLines w:val="0"/>
        <w:pageBreakBefore w:val="0"/>
        <w:widowControl w:val="0"/>
        <w:numPr>
          <w:ilvl w:val="0"/>
          <w:numId w:val="1"/>
        </w:numPr>
        <w:kinsoku/>
        <w:wordWrap/>
        <w:overflowPunct w:val="0"/>
        <w:topLinePunct w:val="0"/>
        <w:autoSpaceDE w:val="0"/>
        <w:autoSpaceDN w:val="0"/>
        <w:bidi w:val="0"/>
        <w:adjustRightInd w:val="0"/>
        <w:snapToGrid w:val="0"/>
        <w:spacing w:beforeLines="0" w:afterLines="0" w:line="550" w:lineRule="exact"/>
        <w:ind w:firstLine="640" w:firstLineChars="200"/>
        <w:rPr>
          <w:rStyle w:val="5"/>
          <w:rFonts w:hint="eastAsia" w:ascii="Times New Roman" w:hAnsi="Times New Roman" w:eastAsia="黑体"/>
          <w:b w:val="0"/>
          <w:color w:val="000000" w:themeColor="text1"/>
          <w:sz w:val="32"/>
          <w:szCs w:val="24"/>
          <w:highlight w:val="none"/>
          <w:u w:val="none" w:color="auto"/>
          <w14:textFill>
            <w14:solidFill>
              <w14:schemeClr w14:val="tx1"/>
            </w14:solidFill>
          </w14:textFill>
        </w:rPr>
      </w:pPr>
      <w:r>
        <w:rPr>
          <w:rStyle w:val="5"/>
          <w:rFonts w:hint="eastAsia" w:ascii="Times New Roman" w:hAnsi="Times New Roman" w:eastAsia="黑体"/>
          <w:b w:val="0"/>
          <w:color w:val="000000" w:themeColor="text1"/>
          <w:sz w:val="32"/>
          <w:szCs w:val="24"/>
          <w:highlight w:val="none"/>
          <w:u w:val="none" w:color="auto"/>
          <w14:textFill>
            <w14:solidFill>
              <w14:schemeClr w14:val="tx1"/>
            </w14:solidFill>
          </w14:textFill>
        </w:rPr>
        <w:t>创新能力提升支持</w:t>
      </w:r>
    </w:p>
    <w:p>
      <w:pPr>
        <w:keepNext w:val="0"/>
        <w:keepLines w:val="0"/>
        <w:pageBreakBefore w:val="0"/>
        <w:widowControl w:val="0"/>
        <w:kinsoku/>
        <w:wordWrap/>
        <w:overflowPunct w:val="0"/>
        <w:topLinePunct w:val="0"/>
        <w:autoSpaceDE w:val="0"/>
        <w:autoSpaceDN w:val="0"/>
        <w:bidi w:val="0"/>
        <w:adjustRightInd w:val="0"/>
        <w:snapToGrid w:val="0"/>
        <w:spacing w:beforeLines="0" w:afterLines="0" w:line="550" w:lineRule="exact"/>
        <w:ind w:firstLine="640" w:firstLineChars="200"/>
        <w:textAlignment w:val="center"/>
        <w:rPr>
          <w:rFonts w:hint="eastAsia" w:ascii="Times New Roman" w:hAnsi="Times New Roman" w:eastAsia="仿宋_GB2312"/>
          <w:color w:val="000000" w:themeColor="text1"/>
          <w:sz w:val="32"/>
          <w:szCs w:val="24"/>
          <w:highlight w:val="none"/>
          <w:u w:val="none" w:color="auto"/>
          <w14:textFill>
            <w14:solidFill>
              <w14:schemeClr w14:val="tx1"/>
            </w14:solidFill>
          </w14:textFill>
        </w:rPr>
      </w:pPr>
      <w:r>
        <w:rPr>
          <w:rFonts w:hint="eastAsia" w:ascii="Times New Roman" w:hAnsi="Times New Roman" w:eastAsia="仿宋_GB2312"/>
          <w:color w:val="000000" w:themeColor="text1"/>
          <w:sz w:val="32"/>
          <w:szCs w:val="24"/>
          <w:highlight w:val="none"/>
          <w:u w:val="none" w:color="auto"/>
          <w:lang w:val="zh-CN"/>
          <w14:textFill>
            <w14:solidFill>
              <w14:schemeClr w14:val="tx1"/>
            </w14:solidFill>
          </w14:textFill>
        </w:rPr>
        <w:t>（一）制造业创新中心支持。</w:t>
      </w:r>
      <w:r>
        <w:rPr>
          <w:rFonts w:hint="eastAsia" w:ascii="Times New Roman" w:hAnsi="Times New Roman" w:eastAsia="仿宋_GB2312"/>
          <w:color w:val="000000" w:themeColor="text1"/>
          <w:sz w:val="32"/>
          <w:szCs w:val="24"/>
          <w:highlight w:val="none"/>
          <w:u w:val="none" w:color="auto"/>
          <w14:textFill>
            <w14:solidFill>
              <w14:schemeClr w14:val="tx1"/>
            </w14:solidFill>
          </w14:textFill>
        </w:rPr>
        <w:t>对首次获得国家、省</w:t>
      </w:r>
      <w:r>
        <w:rPr>
          <w:rFonts w:hint="eastAsia" w:ascii="Times New Roman" w:hAnsi="Times New Roman" w:eastAsia="仿宋_GB2312"/>
          <w:color w:val="000000" w:themeColor="text1"/>
          <w:sz w:val="32"/>
          <w:szCs w:val="24"/>
          <w:highlight w:val="none"/>
          <w:u w:val="none" w:color="auto"/>
          <w:lang w:eastAsia="zh-CN"/>
          <w14:textFill>
            <w14:solidFill>
              <w14:schemeClr w14:val="tx1"/>
            </w14:solidFill>
          </w14:textFill>
        </w:rPr>
        <w:t>级</w:t>
      </w:r>
      <w:r>
        <w:rPr>
          <w:rFonts w:hint="eastAsia" w:ascii="Times New Roman" w:hAnsi="Times New Roman" w:eastAsia="仿宋_GB2312"/>
          <w:color w:val="000000" w:themeColor="text1"/>
          <w:sz w:val="32"/>
          <w:szCs w:val="24"/>
          <w:highlight w:val="none"/>
          <w:u w:val="none" w:color="auto"/>
          <w14:textFill>
            <w14:solidFill>
              <w14:schemeClr w14:val="tx1"/>
            </w14:solidFill>
          </w14:textFill>
        </w:rPr>
        <w:t>制造业创新中心认定的福田区制造业创新中心项目，按市级支持金额的50%，分别给予一次性最高3000万元、500万元的支持。对获得</w:t>
      </w:r>
      <w:r>
        <w:rPr>
          <w:rFonts w:hint="eastAsia" w:ascii="Times New Roman" w:hAnsi="Times New Roman" w:eastAsia="仿宋_GB2312"/>
          <w:color w:val="000000" w:themeColor="text1"/>
          <w:sz w:val="32"/>
          <w:szCs w:val="24"/>
          <w:highlight w:val="none"/>
          <w:u w:val="none" w:color="auto"/>
          <w:lang w:eastAsia="zh-CN"/>
          <w14:textFill>
            <w14:solidFill>
              <w14:schemeClr w14:val="tx1"/>
            </w14:solidFill>
          </w14:textFill>
        </w:rPr>
        <w:t>支持</w:t>
      </w:r>
      <w:r>
        <w:rPr>
          <w:rFonts w:hint="eastAsia" w:ascii="Times New Roman" w:hAnsi="Times New Roman" w:eastAsia="仿宋_GB2312"/>
          <w:color w:val="000000" w:themeColor="text1"/>
          <w:sz w:val="32"/>
          <w:szCs w:val="24"/>
          <w:highlight w:val="none"/>
          <w:u w:val="none" w:color="auto"/>
          <w14:textFill>
            <w14:solidFill>
              <w14:schemeClr w14:val="tx1"/>
            </w14:solidFill>
          </w14:textFill>
        </w:rPr>
        <w:t>后被认定为更高级别的制造业创新中心的，按相应标准追加差额</w:t>
      </w:r>
      <w:r>
        <w:rPr>
          <w:rFonts w:hint="eastAsia" w:ascii="Times New Roman" w:hAnsi="Times New Roman" w:eastAsia="仿宋_GB2312"/>
          <w:color w:val="000000" w:themeColor="text1"/>
          <w:sz w:val="32"/>
          <w:szCs w:val="24"/>
          <w:highlight w:val="none"/>
          <w:u w:val="none" w:color="auto"/>
          <w:lang w:eastAsia="zh-CN"/>
          <w14:textFill>
            <w14:solidFill>
              <w14:schemeClr w14:val="tx1"/>
            </w14:solidFill>
          </w14:textFill>
        </w:rPr>
        <w:t>支持</w:t>
      </w:r>
      <w:r>
        <w:rPr>
          <w:rFonts w:hint="eastAsia" w:ascii="Times New Roman" w:hAnsi="Times New Roman" w:eastAsia="仿宋_GB2312"/>
          <w:color w:val="000000" w:themeColor="text1"/>
          <w:sz w:val="32"/>
          <w:szCs w:val="24"/>
          <w:highlight w:val="none"/>
          <w:u w:val="none" w:color="auto"/>
          <w14:textFill>
            <w14:solidFill>
              <w14:schemeClr w14:val="tx1"/>
            </w14:solidFill>
          </w14:textFill>
        </w:rPr>
        <w:t>。</w:t>
      </w:r>
    </w:p>
    <w:p>
      <w:pPr>
        <w:keepNext w:val="0"/>
        <w:keepLines w:val="0"/>
        <w:pageBreakBefore w:val="0"/>
        <w:widowControl w:val="0"/>
        <w:kinsoku/>
        <w:wordWrap/>
        <w:overflowPunct w:val="0"/>
        <w:topLinePunct w:val="0"/>
        <w:autoSpaceDE w:val="0"/>
        <w:autoSpaceDN w:val="0"/>
        <w:bidi w:val="0"/>
        <w:adjustRightInd w:val="0"/>
        <w:snapToGrid w:val="0"/>
        <w:spacing w:beforeLines="0" w:afterLines="0" w:line="550" w:lineRule="exact"/>
        <w:ind w:firstLine="640" w:firstLineChars="200"/>
        <w:textAlignment w:val="center"/>
        <w:rPr>
          <w:rFonts w:hint="eastAsia" w:ascii="Times New Roman" w:hAnsi="Times New Roman" w:eastAsia="仿宋_GB2312"/>
          <w:color w:val="000000" w:themeColor="text1"/>
          <w:sz w:val="32"/>
          <w:szCs w:val="24"/>
          <w:highlight w:val="none"/>
          <w:u w:val="none" w:color="auto"/>
          <w14:textFill>
            <w14:solidFill>
              <w14:schemeClr w14:val="tx1"/>
            </w14:solidFill>
          </w14:textFill>
        </w:rPr>
      </w:pPr>
      <w:r>
        <w:rPr>
          <w:rFonts w:hint="eastAsia" w:ascii="Times New Roman" w:hAnsi="Times New Roman" w:eastAsia="仿宋_GB2312"/>
          <w:color w:val="000000" w:themeColor="text1"/>
          <w:sz w:val="32"/>
          <w:szCs w:val="24"/>
          <w:highlight w:val="none"/>
          <w:u w:val="none" w:color="auto"/>
          <w:lang w:val="zh-CN"/>
          <w14:textFill>
            <w14:solidFill>
              <w14:schemeClr w14:val="tx1"/>
            </w14:solidFill>
          </w14:textFill>
        </w:rPr>
        <w:t>（二）智能制造工厂示范项目支持。</w:t>
      </w:r>
      <w:r>
        <w:rPr>
          <w:rFonts w:hint="eastAsia" w:ascii="Times New Roman" w:hAnsi="Times New Roman" w:eastAsia="仿宋_GB2312"/>
          <w:color w:val="000000" w:themeColor="text1"/>
          <w:sz w:val="32"/>
          <w:szCs w:val="24"/>
          <w:highlight w:val="none"/>
          <w:u w:val="none" w:color="auto"/>
          <w14:textFill>
            <w14:solidFill>
              <w14:schemeClr w14:val="tx1"/>
            </w14:solidFill>
          </w14:textFill>
        </w:rPr>
        <w:t>鼓励企业投资建设全自动化生产工厂示范项目，对在福田区投资建设或升级改建的5G+智慧工厂、无人工厂等智能制造示范项目，经区政府同意并经专项审计，最高按照实际投资额的50%，给予最高6000万元支持。</w:t>
      </w:r>
    </w:p>
    <w:p>
      <w:pPr>
        <w:keepNext w:val="0"/>
        <w:keepLines w:val="0"/>
        <w:pageBreakBefore w:val="0"/>
        <w:widowControl w:val="0"/>
        <w:kinsoku/>
        <w:wordWrap/>
        <w:overflowPunct w:val="0"/>
        <w:topLinePunct w:val="0"/>
        <w:autoSpaceDE w:val="0"/>
        <w:autoSpaceDN w:val="0"/>
        <w:bidi w:val="0"/>
        <w:adjustRightInd w:val="0"/>
        <w:snapToGrid w:val="0"/>
        <w:spacing w:beforeLines="0" w:afterLines="0" w:line="550" w:lineRule="exact"/>
        <w:ind w:firstLine="640" w:firstLineChars="200"/>
        <w:textAlignment w:val="center"/>
        <w:rPr>
          <w:rFonts w:hint="eastAsia" w:ascii="Times New Roman" w:hAnsi="Times New Roman" w:eastAsia="仿宋_GB2312"/>
          <w:color w:val="000000" w:themeColor="text1"/>
          <w:sz w:val="32"/>
          <w:szCs w:val="24"/>
          <w:highlight w:val="none"/>
          <w:u w:val="none" w:color="auto"/>
          <w14:textFill>
            <w14:solidFill>
              <w14:schemeClr w14:val="tx1"/>
            </w14:solidFill>
          </w14:textFill>
        </w:rPr>
      </w:pPr>
      <w:r>
        <w:rPr>
          <w:rFonts w:hint="eastAsia" w:ascii="Times New Roman" w:hAnsi="Times New Roman" w:eastAsia="仿宋_GB2312"/>
          <w:color w:val="000000" w:themeColor="text1"/>
          <w:sz w:val="32"/>
          <w:szCs w:val="24"/>
          <w:highlight w:val="none"/>
          <w:u w:val="none" w:color="auto"/>
          <w:lang w:val="zh-CN"/>
          <w14:textFill>
            <w14:solidFill>
              <w14:schemeClr w14:val="tx1"/>
            </w14:solidFill>
          </w14:textFill>
        </w:rPr>
        <w:t>（三）工业投资技改支持。</w:t>
      </w:r>
      <w:r>
        <w:rPr>
          <w:rFonts w:hint="eastAsia" w:ascii="Times New Roman" w:hAnsi="Times New Roman" w:eastAsia="仿宋_GB2312"/>
          <w:color w:val="000000" w:themeColor="text1"/>
          <w:sz w:val="32"/>
          <w:szCs w:val="24"/>
          <w:highlight w:val="none"/>
          <w:u w:val="none" w:color="auto"/>
          <w14:textFill>
            <w14:solidFill>
              <w14:schemeClr w14:val="tx1"/>
            </w14:solidFill>
          </w14:textFill>
        </w:rPr>
        <w:t>对企业实施新的工业投资技改项目，且纳入福田区工业投资统计的，经专项审计，按照实际投资金额的5%，给予最高1000万元的支持。</w:t>
      </w:r>
    </w:p>
    <w:p>
      <w:pPr>
        <w:keepNext w:val="0"/>
        <w:keepLines w:val="0"/>
        <w:pageBreakBefore w:val="0"/>
        <w:widowControl w:val="0"/>
        <w:kinsoku/>
        <w:wordWrap/>
        <w:overflowPunct w:val="0"/>
        <w:topLinePunct w:val="0"/>
        <w:autoSpaceDE w:val="0"/>
        <w:autoSpaceDN w:val="0"/>
        <w:bidi w:val="0"/>
        <w:adjustRightInd w:val="0"/>
        <w:snapToGrid w:val="0"/>
        <w:spacing w:beforeLines="0" w:afterLines="0" w:line="550" w:lineRule="exact"/>
        <w:ind w:firstLine="640" w:firstLineChars="200"/>
        <w:textAlignment w:val="center"/>
        <w:rPr>
          <w:rFonts w:hint="eastAsia" w:ascii="Times New Roman" w:hAnsi="Times New Roman" w:eastAsia="仿宋_GB2312"/>
          <w:color w:val="000000" w:themeColor="text1"/>
          <w:sz w:val="32"/>
          <w:szCs w:val="24"/>
          <w:highlight w:val="none"/>
          <w:u w:val="none" w:color="auto"/>
          <w14:textFill>
            <w14:solidFill>
              <w14:schemeClr w14:val="tx1"/>
            </w14:solidFill>
          </w14:textFill>
        </w:rPr>
      </w:pPr>
      <w:r>
        <w:rPr>
          <w:rFonts w:hint="eastAsia" w:ascii="Times New Roman" w:hAnsi="Times New Roman" w:eastAsia="仿宋_GB2312"/>
          <w:color w:val="000000" w:themeColor="text1"/>
          <w:sz w:val="32"/>
          <w:szCs w:val="24"/>
          <w:highlight w:val="none"/>
          <w:u w:val="none" w:color="auto"/>
          <w:lang w:val="zh-CN"/>
          <w14:textFill>
            <w14:solidFill>
              <w14:schemeClr w14:val="tx1"/>
            </w14:solidFill>
          </w14:textFill>
        </w:rPr>
        <w:t>（四）工业设计中心配套支持。</w:t>
      </w:r>
      <w:r>
        <w:rPr>
          <w:rFonts w:hint="eastAsia" w:ascii="Times New Roman" w:hAnsi="Times New Roman" w:eastAsia="仿宋_GB2312"/>
          <w:color w:val="000000" w:themeColor="text1"/>
          <w:sz w:val="32"/>
          <w:szCs w:val="24"/>
          <w:highlight w:val="none"/>
          <w:u w:val="none" w:color="auto"/>
          <w14:textFill>
            <w14:solidFill>
              <w14:schemeClr w14:val="tx1"/>
            </w14:solidFill>
          </w14:textFill>
        </w:rPr>
        <w:t>对已获得认定的国家、省级工业设计中心（包括企业工业设计中心、工业设计企业），按照项目获得市级支持资金的20%，给予最高100万元的配套支持。对获得支持后被认定为更高级别的工业设计中心的，按相应标准追加差额支持。</w:t>
      </w:r>
    </w:p>
    <w:p>
      <w:pPr>
        <w:keepNext w:val="0"/>
        <w:keepLines w:val="0"/>
        <w:pageBreakBefore w:val="0"/>
        <w:widowControl w:val="0"/>
        <w:kinsoku/>
        <w:wordWrap/>
        <w:overflowPunct w:val="0"/>
        <w:topLinePunct w:val="0"/>
        <w:autoSpaceDE w:val="0"/>
        <w:autoSpaceDN w:val="0"/>
        <w:bidi w:val="0"/>
        <w:adjustRightInd w:val="0"/>
        <w:snapToGrid w:val="0"/>
        <w:spacing w:beforeLines="0" w:afterLines="0" w:line="550" w:lineRule="exact"/>
        <w:ind w:firstLine="640" w:firstLineChars="200"/>
        <w:textAlignment w:val="center"/>
        <w:rPr>
          <w:rFonts w:hint="eastAsia" w:ascii="Times New Roman" w:hAnsi="Times New Roman" w:eastAsia="仿宋_GB2312"/>
          <w:color w:val="000000" w:themeColor="text1"/>
          <w:sz w:val="32"/>
          <w:szCs w:val="24"/>
          <w:highlight w:val="none"/>
          <w:u w:val="none" w:color="auto"/>
          <w14:textFill>
            <w14:solidFill>
              <w14:schemeClr w14:val="tx1"/>
            </w14:solidFill>
          </w14:textFill>
        </w:rPr>
      </w:pPr>
      <w:r>
        <w:rPr>
          <w:rFonts w:hint="eastAsia" w:ascii="Times New Roman" w:hAnsi="Times New Roman" w:eastAsia="仿宋_GB2312"/>
          <w:color w:val="000000" w:themeColor="text1"/>
          <w:sz w:val="32"/>
          <w:szCs w:val="24"/>
          <w:highlight w:val="none"/>
          <w:u w:val="none" w:color="auto"/>
          <w:lang w:val="zh-CN"/>
          <w14:textFill>
            <w14:solidFill>
              <w14:schemeClr w14:val="tx1"/>
            </w14:solidFill>
          </w14:textFill>
        </w:rPr>
        <w:t>（五）5G创新应用支持。</w:t>
      </w:r>
      <w:r>
        <w:rPr>
          <w:rFonts w:hint="eastAsia" w:ascii="Times New Roman" w:hAnsi="Times New Roman" w:eastAsia="仿宋_GB2312"/>
          <w:color w:val="000000" w:themeColor="text1"/>
          <w:sz w:val="32"/>
          <w:szCs w:val="24"/>
          <w:highlight w:val="none"/>
          <w:u w:val="none" w:color="auto"/>
          <w14:textFill>
            <w14:solidFill>
              <w14:schemeClr w14:val="tx1"/>
            </w14:solidFill>
          </w14:textFill>
        </w:rPr>
        <w:t>对福田区企事业单位参与工业和信息</w:t>
      </w:r>
      <w:r>
        <w:rPr>
          <w:rFonts w:hint="eastAsia" w:ascii="Times New Roman" w:hAnsi="Times New Roman" w:eastAsia="仿宋_GB2312"/>
          <w:color w:val="000000" w:themeColor="text1"/>
          <w:sz w:val="32"/>
          <w:szCs w:val="24"/>
          <w:highlight w:val="none"/>
          <w:u w:val="none" w:color="auto"/>
          <w:lang w:eastAsia="zh-CN"/>
          <w14:textFill>
            <w14:solidFill>
              <w14:schemeClr w14:val="tx1"/>
            </w14:solidFill>
          </w14:textFill>
        </w:rPr>
        <w:t>化</w:t>
      </w:r>
      <w:r>
        <w:rPr>
          <w:rFonts w:hint="eastAsia" w:ascii="Times New Roman" w:hAnsi="Times New Roman" w:eastAsia="仿宋_GB2312"/>
          <w:color w:val="000000" w:themeColor="text1"/>
          <w:sz w:val="32"/>
          <w:szCs w:val="24"/>
          <w:highlight w:val="none"/>
          <w:u w:val="none" w:color="auto"/>
          <w14:textFill>
            <w14:solidFill>
              <w14:schemeClr w14:val="tx1"/>
            </w14:solidFill>
          </w14:textFill>
        </w:rPr>
        <w:t>部主办的“绽放杯”5G应用征集大赛的，按照其获得总决赛一等奖、二等奖、三等奖名次，单个奖项分别给予一次性100万元、30万元、20万元的支持。单个企</w:t>
      </w:r>
      <w:r>
        <w:rPr>
          <w:rFonts w:hint="eastAsia" w:ascii="Times New Roman" w:hAnsi="Times New Roman" w:eastAsia="仿宋_GB2312"/>
          <w:color w:val="000000" w:themeColor="text1"/>
          <w:sz w:val="32"/>
          <w:szCs w:val="24"/>
          <w:highlight w:val="none"/>
          <w:u w:val="none" w:color="auto"/>
          <w:lang w:eastAsia="zh-CN"/>
          <w14:textFill>
            <w14:solidFill>
              <w14:schemeClr w14:val="tx1"/>
            </w14:solidFill>
          </w14:textFill>
        </w:rPr>
        <w:t>事业单位</w:t>
      </w:r>
      <w:r>
        <w:rPr>
          <w:rFonts w:hint="eastAsia" w:ascii="Times New Roman" w:hAnsi="Times New Roman" w:eastAsia="仿宋_GB2312"/>
          <w:color w:val="000000" w:themeColor="text1"/>
          <w:sz w:val="32"/>
          <w:szCs w:val="24"/>
          <w:highlight w:val="none"/>
          <w:u w:val="none" w:color="auto"/>
          <w14:textFill>
            <w14:solidFill>
              <w14:schemeClr w14:val="tx1"/>
            </w14:solidFill>
          </w14:textFill>
        </w:rPr>
        <w:t>可同时申请多个获奖项目。</w:t>
      </w:r>
    </w:p>
    <w:p>
      <w:pPr>
        <w:keepNext w:val="0"/>
        <w:keepLines w:val="0"/>
        <w:pageBreakBefore w:val="0"/>
        <w:widowControl w:val="0"/>
        <w:numPr>
          <w:ilvl w:val="0"/>
          <w:numId w:val="1"/>
        </w:numPr>
        <w:kinsoku/>
        <w:wordWrap/>
        <w:overflowPunct w:val="0"/>
        <w:topLinePunct w:val="0"/>
        <w:autoSpaceDE w:val="0"/>
        <w:autoSpaceDN w:val="0"/>
        <w:bidi w:val="0"/>
        <w:adjustRightInd w:val="0"/>
        <w:snapToGrid w:val="0"/>
        <w:spacing w:beforeLines="0" w:afterLines="0" w:line="550" w:lineRule="exact"/>
        <w:ind w:firstLine="640" w:firstLineChars="200"/>
        <w:rPr>
          <w:rStyle w:val="5"/>
          <w:rFonts w:hint="eastAsia" w:ascii="Times New Roman" w:hAnsi="Times New Roman" w:eastAsia="黑体"/>
          <w:b w:val="0"/>
          <w:color w:val="000000" w:themeColor="text1"/>
          <w:sz w:val="32"/>
          <w:szCs w:val="24"/>
          <w:highlight w:val="none"/>
          <w:u w:val="none" w:color="auto"/>
          <w14:textFill>
            <w14:solidFill>
              <w14:schemeClr w14:val="tx1"/>
            </w14:solidFill>
          </w14:textFill>
        </w:rPr>
      </w:pPr>
      <w:r>
        <w:rPr>
          <w:rStyle w:val="5"/>
          <w:rFonts w:hint="eastAsia" w:ascii="Times New Roman" w:hAnsi="Times New Roman" w:eastAsia="黑体"/>
          <w:b w:val="0"/>
          <w:color w:val="000000" w:themeColor="text1"/>
          <w:sz w:val="32"/>
          <w:szCs w:val="24"/>
          <w:highlight w:val="none"/>
          <w:u w:val="none" w:color="auto"/>
          <w14:textFill>
            <w14:solidFill>
              <w14:schemeClr w14:val="tx1"/>
            </w14:solidFill>
          </w14:textFill>
        </w:rPr>
        <w:t>展会活动支持</w:t>
      </w:r>
    </w:p>
    <w:p>
      <w:pPr>
        <w:keepNext w:val="0"/>
        <w:keepLines w:val="0"/>
        <w:pageBreakBefore w:val="0"/>
        <w:widowControl w:val="0"/>
        <w:kinsoku/>
        <w:wordWrap/>
        <w:overflowPunct w:val="0"/>
        <w:topLinePunct w:val="0"/>
        <w:autoSpaceDE w:val="0"/>
        <w:autoSpaceDN w:val="0"/>
        <w:bidi w:val="0"/>
        <w:adjustRightInd w:val="0"/>
        <w:snapToGrid w:val="0"/>
        <w:spacing w:beforeLines="0" w:afterLines="0" w:line="550" w:lineRule="exact"/>
        <w:ind w:firstLine="640" w:firstLineChars="200"/>
        <w:textAlignment w:val="center"/>
        <w:rPr>
          <w:rFonts w:hint="eastAsia" w:ascii="Times New Roman" w:hAnsi="Times New Roman" w:eastAsia="仿宋_GB2312"/>
          <w:color w:val="000000" w:themeColor="text1"/>
          <w:sz w:val="32"/>
          <w:szCs w:val="24"/>
          <w:highlight w:val="none"/>
          <w:u w:val="none" w:color="auto"/>
          <w14:textFill>
            <w14:solidFill>
              <w14:schemeClr w14:val="tx1"/>
            </w14:solidFill>
          </w14:textFill>
        </w:rPr>
      </w:pPr>
      <w:r>
        <w:rPr>
          <w:rFonts w:hint="eastAsia" w:ascii="Times New Roman" w:hAnsi="Times New Roman" w:eastAsia="仿宋_GB2312"/>
          <w:color w:val="000000" w:themeColor="text1"/>
          <w:sz w:val="32"/>
          <w:szCs w:val="24"/>
          <w:highlight w:val="none"/>
          <w:u w:val="none" w:color="auto"/>
          <w:lang w:val="zh-CN"/>
          <w14:textFill>
            <w14:solidFill>
              <w14:schemeClr w14:val="tx1"/>
            </w14:solidFill>
          </w14:textFill>
        </w:rPr>
        <w:t>（一）活动推广支持。</w:t>
      </w:r>
      <w:r>
        <w:rPr>
          <w:rFonts w:hint="eastAsia" w:ascii="Times New Roman" w:hAnsi="Times New Roman" w:eastAsia="仿宋_GB2312"/>
          <w:color w:val="000000" w:themeColor="text1"/>
          <w:sz w:val="32"/>
          <w:szCs w:val="24"/>
          <w:highlight w:val="none"/>
          <w:u w:val="none" w:color="auto"/>
          <w14:textFill>
            <w14:solidFill>
              <w14:schemeClr w14:val="tx1"/>
            </w14:solidFill>
          </w14:textFill>
        </w:rPr>
        <w:t>对5G、工业设计、专精特新、智能制造等相关企业（机构）举办的行业赛事、论坛和产业推广活动，事前经主管部门备案同意并经专项审计，按照活动实际费用的50%，给予最高200万元支持。</w:t>
      </w:r>
    </w:p>
    <w:p>
      <w:pPr>
        <w:keepNext w:val="0"/>
        <w:keepLines w:val="0"/>
        <w:pageBreakBefore w:val="0"/>
        <w:widowControl w:val="0"/>
        <w:kinsoku/>
        <w:wordWrap/>
        <w:overflowPunct w:val="0"/>
        <w:topLinePunct w:val="0"/>
        <w:autoSpaceDE w:val="0"/>
        <w:autoSpaceDN w:val="0"/>
        <w:bidi w:val="0"/>
        <w:adjustRightInd w:val="0"/>
        <w:snapToGrid w:val="0"/>
        <w:spacing w:beforeLines="0" w:afterLines="0" w:line="550" w:lineRule="exact"/>
        <w:ind w:firstLine="640" w:firstLineChars="200"/>
        <w:textAlignment w:val="center"/>
        <w:rPr>
          <w:rFonts w:hint="eastAsia" w:ascii="Times New Roman" w:hAnsi="Times New Roman" w:eastAsia="仿宋_GB2312"/>
          <w:color w:val="000000" w:themeColor="text1"/>
          <w:sz w:val="32"/>
          <w:szCs w:val="24"/>
          <w:highlight w:val="none"/>
          <w:u w:val="none" w:color="auto"/>
          <w14:textFill>
            <w14:solidFill>
              <w14:schemeClr w14:val="tx1"/>
            </w14:solidFill>
          </w14:textFill>
        </w:rPr>
      </w:pPr>
      <w:r>
        <w:rPr>
          <w:rFonts w:hint="eastAsia" w:ascii="Times New Roman" w:hAnsi="Times New Roman" w:eastAsia="仿宋_GB2312"/>
          <w:color w:val="000000" w:themeColor="text1"/>
          <w:sz w:val="32"/>
          <w:szCs w:val="24"/>
          <w:highlight w:val="none"/>
          <w:u w:val="none" w:color="auto"/>
          <w:lang w:val="zh-CN"/>
          <w14:textFill>
            <w14:solidFill>
              <w14:schemeClr w14:val="tx1"/>
            </w14:solidFill>
          </w14:textFill>
        </w:rPr>
        <w:t>（二）大型赛事活动支持。</w:t>
      </w:r>
      <w:r>
        <w:rPr>
          <w:rFonts w:hint="eastAsia" w:ascii="Times New Roman" w:hAnsi="Times New Roman" w:eastAsia="仿宋_GB2312"/>
          <w:color w:val="000000" w:themeColor="text1"/>
          <w:sz w:val="32"/>
          <w:szCs w:val="24"/>
          <w:highlight w:val="none"/>
          <w:u w:val="none" w:color="auto"/>
          <w14:textFill>
            <w14:solidFill>
              <w14:schemeClr w14:val="tx1"/>
            </w14:solidFill>
          </w14:textFill>
        </w:rPr>
        <w:t>经区政府同意并指导开展的市级以上大型赛事、展会等活动，可对承办单位实际发生的费用，包括但不限于宣传推广、场地租赁、设备租赁、奖金奖品、专家评审、承办服务等活动费用，经专项审计，给予最高1500万元的全额支持。</w:t>
      </w:r>
    </w:p>
    <w:p>
      <w:pPr>
        <w:keepNext w:val="0"/>
        <w:keepLines w:val="0"/>
        <w:pageBreakBefore w:val="0"/>
        <w:widowControl w:val="0"/>
        <w:numPr>
          <w:ilvl w:val="0"/>
          <w:numId w:val="1"/>
        </w:numPr>
        <w:kinsoku/>
        <w:wordWrap/>
        <w:overflowPunct w:val="0"/>
        <w:topLinePunct w:val="0"/>
        <w:autoSpaceDE w:val="0"/>
        <w:autoSpaceDN w:val="0"/>
        <w:bidi w:val="0"/>
        <w:adjustRightInd w:val="0"/>
        <w:snapToGrid w:val="0"/>
        <w:spacing w:beforeLines="0" w:afterLines="0" w:line="550" w:lineRule="exact"/>
        <w:ind w:firstLine="640" w:firstLineChars="200"/>
        <w:rPr>
          <w:rStyle w:val="5"/>
          <w:rFonts w:hint="eastAsia" w:ascii="Times New Roman" w:hAnsi="Times New Roman" w:eastAsia="黑体"/>
          <w:b w:val="0"/>
          <w:color w:val="000000" w:themeColor="text1"/>
          <w:sz w:val="32"/>
          <w:szCs w:val="24"/>
          <w:highlight w:val="none"/>
          <w:u w:val="none" w:color="auto"/>
          <w14:textFill>
            <w14:solidFill>
              <w14:schemeClr w14:val="tx1"/>
            </w14:solidFill>
          </w14:textFill>
        </w:rPr>
      </w:pPr>
      <w:r>
        <w:rPr>
          <w:rStyle w:val="5"/>
          <w:rFonts w:hint="eastAsia" w:ascii="Times New Roman" w:hAnsi="Times New Roman" w:eastAsia="黑体"/>
          <w:b w:val="0"/>
          <w:color w:val="000000" w:themeColor="text1"/>
          <w:sz w:val="32"/>
          <w:szCs w:val="24"/>
          <w:highlight w:val="none"/>
          <w:u w:val="none" w:color="auto"/>
          <w14:textFill>
            <w14:solidFill>
              <w14:schemeClr w14:val="tx1"/>
            </w14:solidFill>
          </w14:textFill>
        </w:rPr>
        <w:t>专精特新配套支持</w:t>
      </w:r>
    </w:p>
    <w:p>
      <w:pPr>
        <w:keepNext w:val="0"/>
        <w:keepLines w:val="0"/>
        <w:pageBreakBefore w:val="0"/>
        <w:widowControl w:val="0"/>
        <w:kinsoku/>
        <w:wordWrap/>
        <w:overflowPunct w:val="0"/>
        <w:topLinePunct w:val="0"/>
        <w:autoSpaceDE w:val="0"/>
        <w:autoSpaceDN w:val="0"/>
        <w:bidi w:val="0"/>
        <w:adjustRightInd w:val="0"/>
        <w:snapToGrid w:val="0"/>
        <w:spacing w:beforeLines="0" w:afterLines="0" w:line="550" w:lineRule="exact"/>
        <w:ind w:firstLine="640" w:firstLineChars="200"/>
        <w:rPr>
          <w:rFonts w:hint="eastAsia" w:ascii="Times New Roman" w:hAnsi="Times New Roman" w:eastAsia="仿宋_GB2312"/>
          <w:color w:val="000000" w:themeColor="text1"/>
          <w:sz w:val="32"/>
          <w:szCs w:val="24"/>
          <w:highlight w:val="none"/>
          <w:u w:val="none" w:color="auto"/>
          <w14:textFill>
            <w14:solidFill>
              <w14:schemeClr w14:val="tx1"/>
            </w14:solidFill>
          </w14:textFill>
        </w:rPr>
      </w:pPr>
      <w:r>
        <w:rPr>
          <w:rFonts w:hint="eastAsia" w:ascii="Times New Roman" w:hAnsi="Times New Roman" w:eastAsia="仿宋_GB2312"/>
          <w:color w:val="000000" w:themeColor="text1"/>
          <w:sz w:val="32"/>
          <w:szCs w:val="24"/>
          <w:highlight w:val="none"/>
          <w:u w:val="none" w:color="auto"/>
          <w14:textFill>
            <w14:solidFill>
              <w14:schemeClr w14:val="tx1"/>
            </w14:solidFill>
          </w14:textFill>
        </w:rPr>
        <w:t>（一）</w:t>
      </w:r>
      <w:r>
        <w:rPr>
          <w:rFonts w:hint="eastAsia" w:ascii="Times New Roman" w:hAnsi="Times New Roman" w:eastAsia="仿宋_GB2312"/>
          <w:color w:val="000000" w:themeColor="text1"/>
          <w:sz w:val="32"/>
          <w:szCs w:val="24"/>
          <w:highlight w:val="none"/>
          <w:u w:val="none" w:color="auto"/>
          <w:lang w:val="zh-CN"/>
          <w14:textFill>
            <w14:solidFill>
              <w14:schemeClr w14:val="tx1"/>
            </w14:solidFill>
          </w14:textFill>
        </w:rPr>
        <w:t>专精特新企业配套支持。对</w:t>
      </w:r>
      <w:r>
        <w:rPr>
          <w:rFonts w:hint="eastAsia" w:ascii="Times New Roman" w:hAnsi="Times New Roman" w:eastAsia="仿宋_GB2312"/>
          <w:color w:val="000000" w:themeColor="text1"/>
          <w:sz w:val="32"/>
          <w:szCs w:val="24"/>
          <w:highlight w:val="none"/>
          <w:u w:val="none" w:color="auto"/>
          <w14:textFill>
            <w14:solidFill>
              <w14:schemeClr w14:val="tx1"/>
            </w14:solidFill>
          </w14:textFill>
        </w:rPr>
        <w:t>入选国家、省级专精特新企业名单的，按市级</w:t>
      </w:r>
      <w:r>
        <w:rPr>
          <w:rFonts w:hint="eastAsia" w:ascii="Times New Roman" w:hAnsi="Times New Roman" w:eastAsia="仿宋_GB2312"/>
          <w:color w:val="000000" w:themeColor="text1"/>
          <w:sz w:val="32"/>
          <w:szCs w:val="24"/>
          <w:highlight w:val="none"/>
          <w:u w:val="none" w:color="auto"/>
          <w:lang w:eastAsia="zh-CN"/>
          <w14:textFill>
            <w14:solidFill>
              <w14:schemeClr w14:val="tx1"/>
            </w14:solidFill>
          </w14:textFill>
        </w:rPr>
        <w:t>支持</w:t>
      </w:r>
      <w:r>
        <w:rPr>
          <w:rFonts w:hint="eastAsia" w:ascii="Times New Roman" w:hAnsi="Times New Roman" w:eastAsia="仿宋_GB2312"/>
          <w:color w:val="000000" w:themeColor="text1"/>
          <w:sz w:val="32"/>
          <w:szCs w:val="24"/>
          <w:highlight w:val="none"/>
          <w:u w:val="none" w:color="auto"/>
          <w14:textFill>
            <w14:solidFill>
              <w14:schemeClr w14:val="tx1"/>
            </w14:solidFill>
          </w14:textFill>
        </w:rPr>
        <w:t>金额给予1:1配套，给予最高50万元支持。同一企业同一年度获不同级别的，按照“从高不重复”原则给予</w:t>
      </w:r>
      <w:r>
        <w:rPr>
          <w:rFonts w:hint="eastAsia" w:ascii="Times New Roman" w:hAnsi="Times New Roman" w:eastAsia="仿宋_GB2312"/>
          <w:color w:val="000000" w:themeColor="text1"/>
          <w:sz w:val="32"/>
          <w:szCs w:val="24"/>
          <w:highlight w:val="none"/>
          <w:u w:val="none" w:color="auto"/>
          <w:lang w:eastAsia="zh-CN"/>
          <w14:textFill>
            <w14:solidFill>
              <w14:schemeClr w14:val="tx1"/>
            </w14:solidFill>
          </w14:textFill>
        </w:rPr>
        <w:t>支持</w:t>
      </w:r>
      <w:r>
        <w:rPr>
          <w:rFonts w:hint="eastAsia" w:ascii="Times New Roman" w:hAnsi="Times New Roman" w:eastAsia="仿宋_GB2312"/>
          <w:color w:val="000000" w:themeColor="text1"/>
          <w:sz w:val="32"/>
          <w:szCs w:val="24"/>
          <w:highlight w:val="none"/>
          <w:u w:val="none" w:color="auto"/>
          <w14:textFill>
            <w14:solidFill>
              <w14:schemeClr w14:val="tx1"/>
            </w14:solidFill>
          </w14:textFill>
        </w:rPr>
        <w:t>。对获得</w:t>
      </w:r>
      <w:r>
        <w:rPr>
          <w:rFonts w:hint="eastAsia" w:ascii="Times New Roman" w:hAnsi="Times New Roman" w:eastAsia="仿宋_GB2312"/>
          <w:color w:val="000000" w:themeColor="text1"/>
          <w:sz w:val="32"/>
          <w:szCs w:val="24"/>
          <w:highlight w:val="none"/>
          <w:u w:val="none" w:color="auto"/>
          <w:lang w:eastAsia="zh-CN"/>
          <w14:textFill>
            <w14:solidFill>
              <w14:schemeClr w14:val="tx1"/>
            </w14:solidFill>
          </w14:textFill>
        </w:rPr>
        <w:t>支持</w:t>
      </w:r>
      <w:r>
        <w:rPr>
          <w:rFonts w:hint="eastAsia" w:ascii="Times New Roman" w:hAnsi="Times New Roman" w:eastAsia="仿宋_GB2312"/>
          <w:color w:val="000000" w:themeColor="text1"/>
          <w:sz w:val="32"/>
          <w:szCs w:val="24"/>
          <w:highlight w:val="none"/>
          <w:u w:val="none" w:color="auto"/>
          <w14:textFill>
            <w14:solidFill>
              <w14:schemeClr w14:val="tx1"/>
            </w14:solidFill>
          </w14:textFill>
        </w:rPr>
        <w:t>后获评更高级别的专精特新项目，按相应标准追加差额</w:t>
      </w:r>
      <w:r>
        <w:rPr>
          <w:rFonts w:hint="eastAsia" w:ascii="Times New Roman" w:hAnsi="Times New Roman" w:eastAsia="仿宋_GB2312"/>
          <w:color w:val="000000" w:themeColor="text1"/>
          <w:sz w:val="32"/>
          <w:szCs w:val="24"/>
          <w:highlight w:val="none"/>
          <w:u w:val="none" w:color="auto"/>
          <w:lang w:eastAsia="zh-CN"/>
          <w14:textFill>
            <w14:solidFill>
              <w14:schemeClr w14:val="tx1"/>
            </w14:solidFill>
          </w14:textFill>
        </w:rPr>
        <w:t>支持</w:t>
      </w:r>
      <w:r>
        <w:rPr>
          <w:rFonts w:hint="eastAsia" w:ascii="Times New Roman" w:hAnsi="Times New Roman" w:eastAsia="仿宋_GB2312"/>
          <w:color w:val="000000" w:themeColor="text1"/>
          <w:sz w:val="32"/>
          <w:szCs w:val="24"/>
          <w:highlight w:val="none"/>
          <w:u w:val="none" w:color="auto"/>
          <w14:textFill>
            <w14:solidFill>
              <w14:schemeClr w14:val="tx1"/>
            </w14:solidFill>
          </w14:textFill>
        </w:rPr>
        <w:t>。</w:t>
      </w:r>
    </w:p>
    <w:p>
      <w:pPr>
        <w:keepNext w:val="0"/>
        <w:keepLines w:val="0"/>
        <w:pageBreakBefore w:val="0"/>
        <w:widowControl w:val="0"/>
        <w:kinsoku/>
        <w:wordWrap/>
        <w:overflowPunct w:val="0"/>
        <w:topLinePunct w:val="0"/>
        <w:autoSpaceDE w:val="0"/>
        <w:autoSpaceDN w:val="0"/>
        <w:bidi w:val="0"/>
        <w:adjustRightInd w:val="0"/>
        <w:snapToGrid w:val="0"/>
        <w:spacing w:beforeLines="0" w:afterLines="0" w:line="550" w:lineRule="exact"/>
        <w:ind w:firstLine="640" w:firstLineChars="200"/>
        <w:rPr>
          <w:rFonts w:hint="default" w:ascii="Times New Roman" w:hAnsi="Times New Roman" w:eastAsia="仿宋_GB2312"/>
          <w:color w:val="000000" w:themeColor="text1"/>
          <w:sz w:val="32"/>
          <w:szCs w:val="24"/>
          <w:highlight w:val="none"/>
          <w:u w:val="none" w:color="auto"/>
          <w14:textFill>
            <w14:solidFill>
              <w14:schemeClr w14:val="tx1"/>
            </w14:solidFill>
          </w14:textFill>
        </w:rPr>
      </w:pPr>
      <w:r>
        <w:rPr>
          <w:rFonts w:hint="eastAsia" w:ascii="Times New Roman" w:hAnsi="Times New Roman" w:eastAsia="仿宋_GB2312"/>
          <w:color w:val="000000" w:themeColor="text1"/>
          <w:sz w:val="32"/>
          <w:szCs w:val="24"/>
          <w:highlight w:val="none"/>
          <w:u w:val="none" w:color="auto"/>
          <w14:textFill>
            <w14:solidFill>
              <w14:schemeClr w14:val="tx1"/>
            </w14:solidFill>
          </w14:textFill>
        </w:rPr>
        <w:t>（二）</w:t>
      </w:r>
      <w:r>
        <w:rPr>
          <w:rFonts w:hint="eastAsia" w:ascii="Times New Roman" w:hAnsi="Times New Roman" w:eastAsia="仿宋_GB2312"/>
          <w:color w:val="000000" w:themeColor="text1"/>
          <w:sz w:val="32"/>
          <w:szCs w:val="24"/>
          <w:highlight w:val="none"/>
          <w:u w:val="none" w:color="auto"/>
          <w:lang w:val="zh-CN"/>
          <w14:textFill>
            <w14:solidFill>
              <w14:schemeClr w14:val="tx1"/>
            </w14:solidFill>
          </w14:textFill>
        </w:rPr>
        <w:t>单项冠军企业配套支持。</w:t>
      </w:r>
      <w:r>
        <w:rPr>
          <w:rFonts w:hint="eastAsia" w:ascii="Times New Roman" w:hAnsi="Times New Roman" w:eastAsia="仿宋_GB2312"/>
          <w:color w:val="000000" w:themeColor="text1"/>
          <w:sz w:val="32"/>
          <w:szCs w:val="24"/>
          <w:highlight w:val="none"/>
          <w:u w:val="none" w:color="auto"/>
          <w14:textFill>
            <w14:solidFill>
              <w14:schemeClr w14:val="tx1"/>
            </w14:solidFill>
          </w14:textFill>
        </w:rPr>
        <w:t>对首次获得国家级、市级制造业“单项冠军”示范企业、“单项冠军”产品称号的，按市级</w:t>
      </w:r>
      <w:r>
        <w:rPr>
          <w:rFonts w:hint="eastAsia" w:ascii="Times New Roman" w:hAnsi="Times New Roman" w:eastAsia="仿宋_GB2312"/>
          <w:color w:val="000000" w:themeColor="text1"/>
          <w:sz w:val="32"/>
          <w:szCs w:val="24"/>
          <w:highlight w:val="none"/>
          <w:u w:val="none" w:color="auto"/>
          <w:lang w:eastAsia="zh-CN"/>
          <w14:textFill>
            <w14:solidFill>
              <w14:schemeClr w14:val="tx1"/>
            </w14:solidFill>
          </w14:textFill>
        </w:rPr>
        <w:t>支持</w:t>
      </w:r>
      <w:r>
        <w:rPr>
          <w:rFonts w:hint="eastAsia" w:ascii="Times New Roman" w:hAnsi="Times New Roman" w:eastAsia="仿宋_GB2312"/>
          <w:color w:val="000000" w:themeColor="text1"/>
          <w:sz w:val="32"/>
          <w:szCs w:val="24"/>
          <w:highlight w:val="none"/>
          <w:u w:val="none" w:color="auto"/>
          <w14:textFill>
            <w14:solidFill>
              <w14:schemeClr w14:val="tx1"/>
            </w14:solidFill>
          </w14:textFill>
        </w:rPr>
        <w:t>金额给予1:1配套，给予最高100万元支持。同一企业同一年度获不同级别的，按照“从高不重复”原则给予</w:t>
      </w:r>
      <w:r>
        <w:rPr>
          <w:rFonts w:hint="eastAsia" w:ascii="Times New Roman" w:hAnsi="Times New Roman" w:eastAsia="仿宋_GB2312"/>
          <w:color w:val="000000" w:themeColor="text1"/>
          <w:sz w:val="32"/>
          <w:szCs w:val="24"/>
          <w:highlight w:val="none"/>
          <w:u w:val="none" w:color="auto"/>
          <w:lang w:eastAsia="zh-CN"/>
          <w14:textFill>
            <w14:solidFill>
              <w14:schemeClr w14:val="tx1"/>
            </w14:solidFill>
          </w14:textFill>
        </w:rPr>
        <w:t>支持</w:t>
      </w:r>
      <w:r>
        <w:rPr>
          <w:rFonts w:hint="eastAsia" w:ascii="Times New Roman" w:hAnsi="Times New Roman" w:eastAsia="仿宋_GB2312"/>
          <w:color w:val="000000" w:themeColor="text1"/>
          <w:sz w:val="32"/>
          <w:szCs w:val="24"/>
          <w:highlight w:val="none"/>
          <w:u w:val="none" w:color="auto"/>
          <w14:textFill>
            <w14:solidFill>
              <w14:schemeClr w14:val="tx1"/>
            </w14:solidFill>
          </w14:textFill>
        </w:rPr>
        <w:t>。对获得</w:t>
      </w:r>
      <w:r>
        <w:rPr>
          <w:rFonts w:hint="eastAsia" w:ascii="Times New Roman" w:hAnsi="Times New Roman" w:eastAsia="仿宋_GB2312"/>
          <w:color w:val="000000" w:themeColor="text1"/>
          <w:sz w:val="32"/>
          <w:szCs w:val="24"/>
          <w:highlight w:val="none"/>
          <w:u w:val="none" w:color="auto"/>
          <w:lang w:eastAsia="zh-CN"/>
          <w14:textFill>
            <w14:solidFill>
              <w14:schemeClr w14:val="tx1"/>
            </w14:solidFill>
          </w14:textFill>
        </w:rPr>
        <w:t>支持</w:t>
      </w:r>
      <w:r>
        <w:rPr>
          <w:rFonts w:hint="eastAsia" w:ascii="Times New Roman" w:hAnsi="Times New Roman" w:eastAsia="仿宋_GB2312"/>
          <w:color w:val="000000" w:themeColor="text1"/>
          <w:sz w:val="32"/>
          <w:szCs w:val="24"/>
          <w:highlight w:val="none"/>
          <w:u w:val="none" w:color="auto"/>
          <w14:textFill>
            <w14:solidFill>
              <w14:schemeClr w14:val="tx1"/>
            </w14:solidFill>
          </w14:textFill>
        </w:rPr>
        <w:t>后获评更高级别的单项冠军项目，按相应标准追加差额</w:t>
      </w:r>
      <w:r>
        <w:rPr>
          <w:rFonts w:hint="eastAsia" w:ascii="Times New Roman" w:hAnsi="Times New Roman" w:eastAsia="仿宋_GB2312"/>
          <w:color w:val="000000" w:themeColor="text1"/>
          <w:sz w:val="32"/>
          <w:szCs w:val="24"/>
          <w:highlight w:val="none"/>
          <w:u w:val="none" w:color="auto"/>
          <w:lang w:eastAsia="zh-CN"/>
          <w14:textFill>
            <w14:solidFill>
              <w14:schemeClr w14:val="tx1"/>
            </w14:solidFill>
          </w14:textFill>
        </w:rPr>
        <w:t>支持</w:t>
      </w:r>
      <w:r>
        <w:rPr>
          <w:rFonts w:hint="eastAsia" w:ascii="Times New Roman" w:hAnsi="Times New Roman" w:eastAsia="仿宋_GB2312"/>
          <w:color w:val="000000" w:themeColor="text1"/>
          <w:sz w:val="32"/>
          <w:szCs w:val="24"/>
          <w:highlight w:val="none"/>
          <w:u w:val="none" w:color="auto"/>
          <w14:textFill>
            <w14:solidFill>
              <w14:schemeClr w14:val="tx1"/>
            </w14:solidFill>
          </w14:textFill>
        </w:rPr>
        <w:t xml:space="preserve">。 </w:t>
      </w:r>
    </w:p>
    <w:p>
      <w:pPr>
        <w:keepNext w:val="0"/>
        <w:keepLines w:val="0"/>
        <w:pageBreakBefore w:val="0"/>
        <w:widowControl w:val="0"/>
        <w:numPr>
          <w:ilvl w:val="0"/>
          <w:numId w:val="1"/>
        </w:numPr>
        <w:kinsoku/>
        <w:wordWrap/>
        <w:overflowPunct w:val="0"/>
        <w:topLinePunct w:val="0"/>
        <w:autoSpaceDE w:val="0"/>
        <w:autoSpaceDN w:val="0"/>
        <w:bidi w:val="0"/>
        <w:adjustRightInd w:val="0"/>
        <w:snapToGrid w:val="0"/>
        <w:spacing w:beforeLines="0" w:afterLines="0" w:line="550" w:lineRule="exact"/>
        <w:ind w:firstLine="640" w:firstLineChars="200"/>
        <w:rPr>
          <w:rStyle w:val="5"/>
          <w:rFonts w:hint="eastAsia" w:ascii="Times New Roman" w:hAnsi="Times New Roman" w:eastAsia="黑体"/>
          <w:b w:val="0"/>
          <w:color w:val="000000" w:themeColor="text1"/>
          <w:sz w:val="32"/>
          <w:szCs w:val="24"/>
          <w:highlight w:val="none"/>
          <w:u w:val="none" w:color="auto"/>
          <w14:textFill>
            <w14:solidFill>
              <w14:schemeClr w14:val="tx1"/>
            </w14:solidFill>
          </w14:textFill>
        </w:rPr>
      </w:pPr>
      <w:r>
        <w:rPr>
          <w:rStyle w:val="5"/>
          <w:rFonts w:hint="eastAsia" w:ascii="Times New Roman" w:hAnsi="Times New Roman" w:eastAsia="黑体"/>
          <w:b w:val="0"/>
          <w:color w:val="000000" w:themeColor="text1"/>
          <w:sz w:val="32"/>
          <w:szCs w:val="24"/>
          <w:highlight w:val="none"/>
          <w:u w:val="none" w:color="auto"/>
          <w14:textFill>
            <w14:solidFill>
              <w14:schemeClr w14:val="tx1"/>
            </w14:solidFill>
          </w14:textFill>
        </w:rPr>
        <w:t>老旧工业厂房升级改造支持</w:t>
      </w:r>
    </w:p>
    <w:p>
      <w:pPr>
        <w:keepNext w:val="0"/>
        <w:keepLines w:val="0"/>
        <w:pageBreakBefore w:val="0"/>
        <w:widowControl w:val="0"/>
        <w:tabs>
          <w:tab w:val="left" w:pos="420"/>
        </w:tabs>
        <w:kinsoku/>
        <w:wordWrap/>
        <w:overflowPunct w:val="0"/>
        <w:topLinePunct w:val="0"/>
        <w:autoSpaceDE w:val="0"/>
        <w:autoSpaceDN w:val="0"/>
        <w:bidi w:val="0"/>
        <w:adjustRightInd w:val="0"/>
        <w:snapToGrid w:val="0"/>
        <w:spacing w:beforeLines="0" w:afterLines="0" w:line="550" w:lineRule="exact"/>
        <w:ind w:firstLine="640" w:firstLineChars="200"/>
        <w:rPr>
          <w:rFonts w:hint="eastAsia" w:ascii="Times New Roman" w:hAnsi="Times New Roman" w:eastAsia="仿宋_GB2312"/>
          <w:color w:val="000000" w:themeColor="text1"/>
          <w:sz w:val="32"/>
          <w:szCs w:val="24"/>
          <w:highlight w:val="none"/>
          <w:u w:val="none" w:color="auto"/>
          <w14:textFill>
            <w14:solidFill>
              <w14:schemeClr w14:val="tx1"/>
            </w14:solidFill>
          </w14:textFill>
        </w:rPr>
      </w:pPr>
      <w:r>
        <w:rPr>
          <w:rFonts w:hint="eastAsia" w:ascii="Times New Roman" w:hAnsi="Times New Roman" w:eastAsia="仿宋_GB2312"/>
          <w:color w:val="000000" w:themeColor="text1"/>
          <w:sz w:val="32"/>
          <w:szCs w:val="24"/>
          <w:highlight w:val="none"/>
          <w:u w:val="none" w:color="auto"/>
          <w14:textFill>
            <w14:solidFill>
              <w14:schemeClr w14:val="tx1"/>
            </w14:solidFill>
          </w14:textFill>
        </w:rPr>
        <w:t>鼓励老旧工业厂房升级改造，支持国企和社会力量建设“生产+研发”创新型高标准厂房，并引入符合我区发展导向的优质企业或项目。经事先备案并经专项审计，按照实际改造费用的10%，给予最高1000万元支持。</w:t>
      </w:r>
    </w:p>
    <w:p>
      <w:pPr>
        <w:keepNext w:val="0"/>
        <w:keepLines w:val="0"/>
        <w:pageBreakBefore w:val="0"/>
        <w:widowControl w:val="0"/>
        <w:numPr>
          <w:ilvl w:val="0"/>
          <w:numId w:val="1"/>
        </w:numPr>
        <w:kinsoku/>
        <w:wordWrap/>
        <w:overflowPunct w:val="0"/>
        <w:topLinePunct w:val="0"/>
        <w:autoSpaceDE w:val="0"/>
        <w:autoSpaceDN w:val="0"/>
        <w:bidi w:val="0"/>
        <w:adjustRightInd w:val="0"/>
        <w:snapToGrid w:val="0"/>
        <w:spacing w:beforeLines="0" w:afterLines="0" w:line="550" w:lineRule="exact"/>
        <w:ind w:firstLine="640" w:firstLineChars="200"/>
        <w:rPr>
          <w:rStyle w:val="5"/>
          <w:rFonts w:hint="eastAsia" w:ascii="Times New Roman" w:hAnsi="Times New Roman" w:eastAsia="黑体"/>
          <w:b w:val="0"/>
          <w:color w:val="000000" w:themeColor="text1"/>
          <w:sz w:val="32"/>
          <w:szCs w:val="24"/>
          <w:highlight w:val="none"/>
          <w:u w:val="none" w:color="auto"/>
          <w14:textFill>
            <w14:solidFill>
              <w14:schemeClr w14:val="tx1"/>
            </w14:solidFill>
          </w14:textFill>
        </w:rPr>
      </w:pPr>
      <w:r>
        <w:rPr>
          <w:rStyle w:val="5"/>
          <w:rFonts w:hint="eastAsia" w:ascii="Times New Roman" w:hAnsi="Times New Roman" w:eastAsia="黑体"/>
          <w:b w:val="0"/>
          <w:color w:val="000000" w:themeColor="text1"/>
          <w:sz w:val="32"/>
          <w:szCs w:val="24"/>
          <w:highlight w:val="none"/>
          <w:u w:val="none" w:color="auto"/>
          <w14:textFill>
            <w14:solidFill>
              <w14:schemeClr w14:val="tx1"/>
            </w14:solidFill>
          </w14:textFill>
        </w:rPr>
        <w:t>重点项目支持</w:t>
      </w:r>
    </w:p>
    <w:p>
      <w:pPr>
        <w:keepNext w:val="0"/>
        <w:keepLines w:val="0"/>
        <w:pageBreakBefore w:val="0"/>
        <w:widowControl w:val="0"/>
        <w:kinsoku/>
        <w:wordWrap/>
        <w:overflowPunct w:val="0"/>
        <w:topLinePunct w:val="0"/>
        <w:autoSpaceDE w:val="0"/>
        <w:autoSpaceDN w:val="0"/>
        <w:bidi w:val="0"/>
        <w:adjustRightInd w:val="0"/>
        <w:snapToGrid w:val="0"/>
        <w:spacing w:beforeLines="0" w:afterLines="0" w:line="550" w:lineRule="exact"/>
        <w:ind w:firstLine="640" w:firstLineChars="200"/>
        <w:rPr>
          <w:rFonts w:hint="eastAsia" w:ascii="Times New Roman" w:hAnsi="Times New Roman" w:eastAsia="仿宋_GB2312"/>
          <w:color w:val="000000" w:themeColor="text1"/>
          <w:sz w:val="32"/>
          <w:szCs w:val="24"/>
          <w:highlight w:val="none"/>
          <w:u w:val="none" w:color="auto"/>
          <w14:textFill>
            <w14:solidFill>
              <w14:schemeClr w14:val="tx1"/>
            </w14:solidFill>
          </w14:textFill>
        </w:rPr>
      </w:pPr>
      <w:r>
        <w:rPr>
          <w:rFonts w:hint="eastAsia" w:ascii="Times New Roman" w:hAnsi="Times New Roman" w:eastAsia="仿宋_GB2312"/>
          <w:color w:val="000000" w:themeColor="text1"/>
          <w:sz w:val="32"/>
          <w:szCs w:val="24"/>
          <w:highlight w:val="none"/>
          <w:u w:val="none" w:color="auto"/>
          <w14:textFill>
            <w14:solidFill>
              <w14:schemeClr w14:val="tx1"/>
            </w14:solidFill>
          </w14:textFill>
        </w:rPr>
        <w:t>对于区政府重点支持的“特大、紧缺、关键”项目，可采取“一事一议”方式予以支持。</w:t>
      </w:r>
    </w:p>
    <w:p>
      <w:pPr>
        <w:keepNext w:val="0"/>
        <w:keepLines w:val="0"/>
        <w:pageBreakBefore w:val="0"/>
        <w:widowControl w:val="0"/>
        <w:numPr>
          <w:ilvl w:val="0"/>
          <w:numId w:val="1"/>
        </w:numPr>
        <w:kinsoku/>
        <w:wordWrap/>
        <w:overflowPunct w:val="0"/>
        <w:topLinePunct w:val="0"/>
        <w:autoSpaceDE w:val="0"/>
        <w:autoSpaceDN w:val="0"/>
        <w:bidi w:val="0"/>
        <w:adjustRightInd w:val="0"/>
        <w:snapToGrid w:val="0"/>
        <w:spacing w:beforeLines="0" w:afterLines="0" w:line="550" w:lineRule="exact"/>
        <w:ind w:firstLine="640" w:firstLineChars="200"/>
        <w:rPr>
          <w:rStyle w:val="5"/>
          <w:rFonts w:hint="eastAsia" w:ascii="Times New Roman" w:hAnsi="Times New Roman" w:eastAsia="黑体"/>
          <w:b w:val="0"/>
          <w:color w:val="000000" w:themeColor="text1"/>
          <w:sz w:val="32"/>
          <w:szCs w:val="24"/>
          <w:highlight w:val="none"/>
          <w:u w:val="none" w:color="auto"/>
          <w:lang w:val="zh-CN"/>
          <w14:textFill>
            <w14:solidFill>
              <w14:schemeClr w14:val="tx1"/>
            </w14:solidFill>
          </w14:textFill>
        </w:rPr>
      </w:pPr>
      <w:r>
        <w:rPr>
          <w:rStyle w:val="5"/>
          <w:rFonts w:hint="eastAsia" w:ascii="Times New Roman" w:hAnsi="Times New Roman" w:eastAsia="黑体"/>
          <w:b w:val="0"/>
          <w:color w:val="000000" w:themeColor="text1"/>
          <w:sz w:val="32"/>
          <w:szCs w:val="24"/>
          <w:highlight w:val="none"/>
          <w:u w:val="none" w:color="auto"/>
          <w14:textFill>
            <w14:solidFill>
              <w14:schemeClr w14:val="tx1"/>
            </w14:solidFill>
          </w14:textFill>
        </w:rPr>
        <w:t>限制和除外情形</w:t>
      </w:r>
    </w:p>
    <w:p>
      <w:pPr>
        <w:keepNext w:val="0"/>
        <w:keepLines w:val="0"/>
        <w:pageBreakBefore w:val="0"/>
        <w:widowControl w:val="0"/>
        <w:kinsoku/>
        <w:wordWrap/>
        <w:overflowPunct w:val="0"/>
        <w:topLinePunct w:val="0"/>
        <w:autoSpaceDE w:val="0"/>
        <w:autoSpaceDN w:val="0"/>
        <w:bidi w:val="0"/>
        <w:adjustRightInd w:val="0"/>
        <w:snapToGrid w:val="0"/>
        <w:spacing w:beforeLines="0" w:afterLines="0" w:line="550" w:lineRule="exact"/>
        <w:ind w:firstLine="640" w:firstLineChars="200"/>
        <w:rPr>
          <w:rStyle w:val="6"/>
          <w:rFonts w:hint="eastAsia" w:ascii="Times New Roman" w:hAnsi="Times New Roman" w:eastAsia="仿宋_GB2312"/>
          <w:color w:val="000000" w:themeColor="text1"/>
          <w:sz w:val="32"/>
          <w:szCs w:val="24"/>
          <w:highlight w:val="none"/>
          <w:u w:val="none" w:color="auto"/>
          <w:lang w:val="zh-CN"/>
          <w14:textFill>
            <w14:solidFill>
              <w14:schemeClr w14:val="tx1"/>
            </w14:solidFill>
          </w14:textFill>
        </w:rPr>
      </w:pPr>
      <w:r>
        <w:rPr>
          <w:rStyle w:val="6"/>
          <w:rFonts w:hint="eastAsia" w:ascii="Times New Roman" w:hAnsi="Times New Roman" w:eastAsia="仿宋_GB2312"/>
          <w:color w:val="000000" w:themeColor="text1"/>
          <w:sz w:val="32"/>
          <w:szCs w:val="24"/>
          <w:highlight w:val="none"/>
          <w:u w:val="none" w:color="auto"/>
          <w:lang w:val="zh-CN"/>
          <w14:textFill>
            <w14:solidFill>
              <w14:schemeClr w14:val="tx1"/>
            </w14:solidFill>
          </w14:textFill>
        </w:rPr>
        <w:t>（一）本措施中“规上工业经营支持”、“规下工业经营支持”、“制造业创新中心支持”、“智能制造工厂示范项目支持”、“智能制造工厂示范项目租金支持”、“工业投资技改支持”、“展会活动支持”、“5G创新应用支持”、“</w:t>
      </w:r>
      <w:r>
        <w:rPr>
          <w:rFonts w:hint="eastAsia" w:ascii="Times New Roman" w:hAnsi="Times New Roman" w:eastAsia="仿宋_GB2312"/>
          <w:color w:val="000000" w:themeColor="text1"/>
          <w:sz w:val="32"/>
          <w:szCs w:val="24"/>
          <w:highlight w:val="none"/>
          <w:u w:val="none" w:color="auto"/>
          <w14:textFill>
            <w14:solidFill>
              <w14:schemeClr w14:val="tx1"/>
            </w14:solidFill>
          </w14:textFill>
        </w:rPr>
        <w:t>老旧工业厂房升级改造支持</w:t>
      </w:r>
      <w:r>
        <w:rPr>
          <w:rStyle w:val="6"/>
          <w:rFonts w:hint="eastAsia" w:ascii="Times New Roman" w:hAnsi="Times New Roman" w:eastAsia="仿宋_GB2312"/>
          <w:color w:val="000000" w:themeColor="text1"/>
          <w:sz w:val="32"/>
          <w:szCs w:val="24"/>
          <w:highlight w:val="none"/>
          <w:u w:val="none" w:color="auto"/>
          <w:lang w:val="zh-CN"/>
          <w14:textFill>
            <w14:solidFill>
              <w14:schemeClr w14:val="tx1"/>
            </w14:solidFill>
          </w14:textFill>
        </w:rPr>
        <w:t>”可不受上年度综合贡献及同一企业年度支持总额限制。</w:t>
      </w:r>
    </w:p>
    <w:p>
      <w:pPr>
        <w:keepNext w:val="0"/>
        <w:keepLines w:val="0"/>
        <w:pageBreakBefore w:val="0"/>
        <w:widowControl w:val="0"/>
        <w:kinsoku/>
        <w:wordWrap/>
        <w:overflowPunct w:val="0"/>
        <w:topLinePunct w:val="0"/>
        <w:autoSpaceDE w:val="0"/>
        <w:autoSpaceDN w:val="0"/>
        <w:bidi w:val="0"/>
        <w:adjustRightInd w:val="0"/>
        <w:snapToGrid w:val="0"/>
        <w:spacing w:beforeLines="0" w:afterLines="0" w:line="550" w:lineRule="exact"/>
        <w:ind w:firstLine="640" w:firstLineChars="200"/>
        <w:rPr>
          <w:rStyle w:val="6"/>
          <w:rFonts w:hint="eastAsia" w:ascii="Times New Roman" w:hAnsi="Times New Roman" w:eastAsia="仿宋_GB2312"/>
          <w:color w:val="000000" w:themeColor="text1"/>
          <w:sz w:val="32"/>
          <w:szCs w:val="24"/>
          <w:highlight w:val="none"/>
          <w:u w:val="none" w:color="auto"/>
          <w:lang w:val="zh-CN"/>
          <w14:textFill>
            <w14:solidFill>
              <w14:schemeClr w14:val="tx1"/>
            </w14:solidFill>
          </w14:textFill>
        </w:rPr>
      </w:pPr>
      <w:r>
        <w:rPr>
          <w:rStyle w:val="6"/>
          <w:rFonts w:hint="eastAsia" w:ascii="Times New Roman" w:hAnsi="Times New Roman" w:eastAsia="仿宋_GB2312"/>
          <w:color w:val="000000" w:themeColor="text1"/>
          <w:sz w:val="32"/>
          <w:szCs w:val="24"/>
          <w:highlight w:val="none"/>
          <w:u w:val="none" w:color="auto"/>
          <w:lang w:val="zh-CN"/>
          <w14:textFill>
            <w14:solidFill>
              <w14:schemeClr w14:val="tx1"/>
            </w14:solidFill>
          </w14:textFill>
        </w:rPr>
        <w:t>（二）本措施支持资金受年度资金总额控制。</w:t>
      </w:r>
    </w:p>
    <w:p>
      <w:pPr>
        <w:keepNext w:val="0"/>
        <w:keepLines w:val="0"/>
        <w:pageBreakBefore w:val="0"/>
        <w:widowControl w:val="0"/>
        <w:numPr>
          <w:ilvl w:val="0"/>
          <w:numId w:val="1"/>
        </w:numPr>
        <w:kinsoku/>
        <w:wordWrap/>
        <w:overflowPunct w:val="0"/>
        <w:topLinePunct w:val="0"/>
        <w:autoSpaceDE w:val="0"/>
        <w:autoSpaceDN w:val="0"/>
        <w:bidi w:val="0"/>
        <w:adjustRightInd w:val="0"/>
        <w:snapToGrid w:val="0"/>
        <w:spacing w:beforeLines="0" w:afterLines="0" w:line="550" w:lineRule="exact"/>
        <w:ind w:firstLine="640" w:firstLineChars="200"/>
        <w:rPr>
          <w:rStyle w:val="5"/>
          <w:rFonts w:hint="eastAsia" w:ascii="Times New Roman" w:hAnsi="Times New Roman" w:eastAsia="黑体"/>
          <w:b w:val="0"/>
          <w:color w:val="000000" w:themeColor="text1"/>
          <w:sz w:val="32"/>
          <w:szCs w:val="24"/>
          <w:highlight w:val="none"/>
          <w:u w:val="none" w:color="auto"/>
          <w14:textFill>
            <w14:solidFill>
              <w14:schemeClr w14:val="tx1"/>
            </w14:solidFill>
          </w14:textFill>
        </w:rPr>
      </w:pPr>
      <w:r>
        <w:rPr>
          <w:rStyle w:val="5"/>
          <w:rFonts w:hint="eastAsia" w:ascii="Times New Roman" w:hAnsi="Times New Roman" w:eastAsia="黑体"/>
          <w:b w:val="0"/>
          <w:color w:val="000000" w:themeColor="text1"/>
          <w:sz w:val="32"/>
          <w:szCs w:val="24"/>
          <w:highlight w:val="none"/>
          <w:u w:val="none" w:color="auto"/>
          <w14:textFill>
            <w14:solidFill>
              <w14:schemeClr w14:val="tx1"/>
            </w14:solidFill>
          </w14:textFill>
        </w:rPr>
        <w:t xml:space="preserve">附则 </w:t>
      </w:r>
    </w:p>
    <w:p>
      <w:pPr>
        <w:keepNext w:val="0"/>
        <w:keepLines w:val="0"/>
        <w:pageBreakBefore w:val="0"/>
        <w:widowControl w:val="0"/>
        <w:kinsoku/>
        <w:wordWrap/>
        <w:overflowPunct w:val="0"/>
        <w:topLinePunct w:val="0"/>
        <w:autoSpaceDE w:val="0"/>
        <w:autoSpaceDN w:val="0"/>
        <w:bidi w:val="0"/>
        <w:adjustRightInd w:val="0"/>
        <w:snapToGrid w:val="0"/>
        <w:spacing w:line="550" w:lineRule="exact"/>
        <w:ind w:firstLine="640" w:firstLineChars="200"/>
        <w:rPr>
          <w:rFonts w:ascii="Times New Roman" w:hAnsi="Times New Roman"/>
          <w:color w:val="000000" w:themeColor="text1"/>
          <w:highlight w:val="none"/>
          <w:u w:val="none" w:color="auto"/>
          <w14:textFill>
            <w14:solidFill>
              <w14:schemeClr w14:val="tx1"/>
            </w14:solidFill>
          </w14:textFill>
        </w:rPr>
      </w:pPr>
      <w:r>
        <w:rPr>
          <w:rStyle w:val="6"/>
          <w:rFonts w:hint="eastAsia" w:ascii="Times New Roman" w:hAnsi="Times New Roman" w:eastAsia="仿宋_GB2312"/>
          <w:color w:val="000000" w:themeColor="text1"/>
          <w:sz w:val="32"/>
          <w:szCs w:val="24"/>
          <w:highlight w:val="none"/>
          <w:u w:val="none" w:color="auto"/>
          <w:lang w:val="zh-CN"/>
          <w14:textFill>
            <w14:solidFill>
              <w14:schemeClr w14:val="tx1"/>
            </w14:solidFill>
          </w14:textFill>
        </w:rPr>
        <w:t>本措施自2022年6月17日起施行，至202</w:t>
      </w:r>
      <w:r>
        <w:rPr>
          <w:rStyle w:val="6"/>
          <w:rFonts w:hint="eastAsia" w:ascii="Times New Roman" w:hAnsi="Times New Roman" w:eastAsia="仿宋_GB2312"/>
          <w:color w:val="000000" w:themeColor="text1"/>
          <w:sz w:val="32"/>
          <w:szCs w:val="24"/>
          <w:highlight w:val="none"/>
          <w:u w:val="none" w:color="auto"/>
          <w:lang w:val="zh-CN" w:eastAsia="zh-CN"/>
          <w14:textFill>
            <w14:solidFill>
              <w14:schemeClr w14:val="tx1"/>
            </w14:solidFill>
          </w14:textFill>
        </w:rPr>
        <w:t>4</w:t>
      </w:r>
      <w:r>
        <w:rPr>
          <w:rStyle w:val="6"/>
          <w:rFonts w:hint="eastAsia" w:ascii="Times New Roman" w:hAnsi="Times New Roman" w:eastAsia="仿宋_GB2312"/>
          <w:color w:val="000000" w:themeColor="text1"/>
          <w:sz w:val="32"/>
          <w:szCs w:val="24"/>
          <w:highlight w:val="none"/>
          <w:u w:val="none" w:color="auto"/>
          <w:lang w:val="zh-CN"/>
          <w14:textFill>
            <w14:solidFill>
              <w14:schemeClr w14:val="tx1"/>
            </w14:solidFill>
          </w14:textFill>
        </w:rPr>
        <w:t>年12月31日止，由福田区工业和信息化局负责解释。</w:t>
      </w:r>
    </w:p>
    <w:p>
      <w:pPr>
        <w:rPr>
          <w:highlight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小标宋简体">
    <w:altName w:val="黑体"/>
    <w:panose1 w:val="02000000000000000000"/>
    <w:charset w:val="86"/>
    <w:family w:val="auto"/>
    <w:pitch w:val="default"/>
    <w:sig w:usb0="00000000" w:usb1="00000000" w:usb2="00000012"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574B7ED"/>
    <w:multiLevelType w:val="multilevel"/>
    <w:tmpl w:val="B574B7ED"/>
    <w:lvl w:ilvl="0" w:tentative="0">
      <w:start w:val="1"/>
      <w:numFmt w:val="chineseCounting"/>
      <w:suff w:val="nothing"/>
      <w:lvlText w:val="（%1）"/>
      <w:lvlJc w:val="left"/>
      <w:pPr>
        <w:ind w:left="0" w:firstLine="420"/>
      </w:pPr>
      <w:rPr>
        <w:rFonts w:hint="eastAsia"/>
      </w:rPr>
    </w:lvl>
    <w:lvl w:ilvl="1" w:tentative="0">
      <w:start w:val="1"/>
      <w:numFmt w:val="decimal"/>
      <w:suff w:val="nothing"/>
      <w:lvlText w:val="%2．"/>
      <w:lvlJc w:val="left"/>
      <w:pPr>
        <w:ind w:left="0" w:firstLine="420"/>
      </w:pPr>
      <w:rPr>
        <w:rFonts w:hint="eastAsia"/>
      </w:rPr>
    </w:lvl>
    <w:lvl w:ilvl="2" w:tentative="0">
      <w:start w:val="1"/>
      <w:numFmt w:val="decimal"/>
      <w:suff w:val="nothing"/>
      <w:lvlText w:val="（%3）"/>
      <w:lvlJc w:val="left"/>
      <w:pPr>
        <w:ind w:left="0" w:firstLine="420"/>
      </w:pPr>
      <w:rPr>
        <w:rFonts w:hint="eastAsia"/>
      </w:rPr>
    </w:lvl>
    <w:lvl w:ilvl="3" w:tentative="0">
      <w:start w:val="1"/>
      <w:numFmt w:val="decimalEnclosedCircleChinese"/>
      <w:suff w:val="nothing"/>
      <w:lvlText w:val="%4"/>
      <w:lvlJc w:val="left"/>
      <w:pPr>
        <w:ind w:left="0" w:firstLine="420"/>
      </w:pPr>
      <w:rPr>
        <w:rFonts w:hint="eastAsia"/>
      </w:rPr>
    </w:lvl>
    <w:lvl w:ilvl="4" w:tentative="0">
      <w:start w:val="1"/>
      <w:numFmt w:val="decimal"/>
      <w:suff w:val="nothing"/>
      <w:lvlText w:val="%5）"/>
      <w:lvlJc w:val="left"/>
      <w:pPr>
        <w:ind w:left="0" w:firstLine="420"/>
      </w:pPr>
      <w:rPr>
        <w:rFonts w:hint="eastAsia"/>
      </w:rPr>
    </w:lvl>
    <w:lvl w:ilvl="5" w:tentative="0">
      <w:start w:val="1"/>
      <w:numFmt w:val="lowerLetter"/>
      <w:suff w:val="nothing"/>
      <w:lvlText w:val="%6．"/>
      <w:lvlJc w:val="left"/>
      <w:pPr>
        <w:ind w:left="0" w:firstLine="420"/>
      </w:pPr>
      <w:rPr>
        <w:rFonts w:hint="eastAsia"/>
      </w:rPr>
    </w:lvl>
    <w:lvl w:ilvl="6" w:tentative="0">
      <w:start w:val="1"/>
      <w:numFmt w:val="lowerLetter"/>
      <w:suff w:val="nothing"/>
      <w:lvlText w:val="%7）"/>
      <w:lvlJc w:val="left"/>
      <w:pPr>
        <w:ind w:left="0" w:firstLine="420"/>
      </w:pPr>
      <w:rPr>
        <w:rFonts w:hint="eastAsia"/>
      </w:rPr>
    </w:lvl>
    <w:lvl w:ilvl="7" w:tentative="0">
      <w:start w:val="1"/>
      <w:numFmt w:val="lowerRoman"/>
      <w:suff w:val="nothing"/>
      <w:lvlText w:val="%8．"/>
      <w:lvlJc w:val="left"/>
      <w:pPr>
        <w:ind w:left="0" w:firstLine="420"/>
      </w:pPr>
      <w:rPr>
        <w:rFonts w:hint="eastAsia"/>
      </w:rPr>
    </w:lvl>
    <w:lvl w:ilvl="8" w:tentative="0">
      <w:start w:val="1"/>
      <w:numFmt w:val="lowerRoman"/>
      <w:suff w:val="nothing"/>
      <w:lvlText w:val="%9）"/>
      <w:lvlJc w:val="left"/>
      <w:pPr>
        <w:ind w:left="0" w:firstLine="420"/>
      </w:pPr>
      <w:rPr>
        <w:rFonts w:hint="eastAsia"/>
      </w:rPr>
    </w:lvl>
  </w:abstractNum>
  <w:abstractNum w:abstractNumId="1">
    <w:nsid w:val="FFFF51D7"/>
    <w:multiLevelType w:val="multilevel"/>
    <w:tmpl w:val="FFFF51D7"/>
    <w:lvl w:ilvl="0" w:tentative="0">
      <w:start w:val="1"/>
      <w:numFmt w:val="chineseCounting"/>
      <w:suff w:val="space"/>
      <w:lvlText w:val="第%1条"/>
      <w:lvlJc w:val="left"/>
      <w:rPr>
        <w:rFonts w:hint="eastAsia"/>
      </w:rPr>
    </w:lvl>
    <w:lvl w:ilvl="1" w:tentative="0">
      <w:start w:val="1"/>
      <w:numFmt w:val="decimal"/>
      <w:lvlText w:val=""/>
      <w:lvlJc w:val="left"/>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hkYmM5NmRmYjc2ZTc3OWNkZTlmMTVmMTQ3ODlmMmIifQ=="/>
  </w:docVars>
  <w:rsids>
    <w:rsidRoot w:val="3A130529"/>
    <w:rsid w:val="3A1305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5"/>
    <w:qFormat/>
    <w:uiPriority w:val="9"/>
    <w:pPr>
      <w:spacing w:before="100" w:beforeAutospacing="1" w:after="10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character" w:customStyle="1" w:styleId="5">
    <w:name w:val="标题 1 字符"/>
    <w:link w:val="2"/>
    <w:qFormat/>
    <w:uiPriority w:val="9"/>
    <w:rPr>
      <w:rFonts w:hint="eastAsia" w:ascii="宋体" w:hAnsi="宋体" w:eastAsia="宋体" w:cs="宋体"/>
      <w:b/>
      <w:kern w:val="44"/>
      <w:sz w:val="48"/>
      <w:szCs w:val="48"/>
      <w:lang w:val="en-US" w:eastAsia="zh-CN" w:bidi="ar"/>
    </w:rPr>
  </w:style>
  <w:style w:type="character" w:customStyle="1" w:styleId="6">
    <w:name w:val="NormalCharacter"/>
    <w:semiHidden/>
    <w:qFormat/>
    <w:uiPriority w:val="0"/>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2022-06-13T06:30:00Z</dcterms:created>
  <dc:creator>贯彻未来</dc:creator>
  <cp:lastModifiedBy>贯彻未来</cp:lastModifiedBy>
  <dcterms:modified xsi:type="dcterms:W3CDTF">2022-06-13T06:30:55Z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90A4E07AA55F4D1396DE3E4B5D090084</vt:lpwstr>
  </property>
</Properties>
</file>